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14AEA" w:rsidR="00314AEA" w:rsidP="00314AEA" w:rsidRDefault="00314AEA" w14:paraId="191a331" w14:textId="191a331">
      <w:pPr>
        <w:tabs>
          <w:tab w:val="left" w:pos="5940"/>
        </w:tabs>
        <w:spacing w:after="0" w:line="240" w:lineRule="atLeast"/>
        <w15:collapsed w:val="false"/>
        <w:rPr>
          <w:rFonts w:eastAsia="Times New Roman" w:cs="Arial"/>
          <w:bCs/>
          <w:spacing w:val="8"/>
          <w:szCs w:val="24"/>
          <w:lang w:eastAsia="hr-HR"/>
        </w:rPr>
      </w:pPr>
      <w:bookmarkStart w:name="_GoBack" w:id="0"/>
      <w:bookmarkEnd w:id="0"/>
      <w:r w:rsidRPr="00314AEA">
        <w:rPr>
          <w:rFonts w:eastAsia="Times New Roman" w:cs="Arial"/>
          <w:bCs/>
          <w:szCs w:val="24"/>
          <w:lang w:eastAsia="hr-HR"/>
        </w:rPr>
        <w:t xml:space="preserve">REPUBLIKA HRVATSKA </w:t>
      </w:r>
      <w:r w:rsidRPr="00314AEA">
        <w:rPr>
          <w:rFonts w:eastAsia="Times New Roman" w:cs="Arial"/>
          <w:bCs/>
          <w:szCs w:val="24"/>
          <w:lang w:eastAsia="hr-HR"/>
        </w:rPr>
        <w:tab/>
      </w:r>
      <w:r w:rsidRPr="00314AEA">
        <w:rPr>
          <w:rFonts w:eastAsia="Times New Roman" w:cs="Arial"/>
          <w:bCs/>
          <w:szCs w:val="24"/>
          <w:lang w:eastAsia="hr-HR"/>
        </w:rPr>
        <w:tab/>
      </w:r>
      <w:r w:rsidRPr="00314AEA">
        <w:rPr>
          <w:rFonts w:eastAsia="Times New Roman" w:cs="Arial"/>
          <w:bCs/>
          <w:szCs w:val="24"/>
          <w:lang w:eastAsia="hr-HR"/>
        </w:rPr>
        <w:tab/>
        <w:t xml:space="preserve">      </w:t>
      </w:r>
    </w:p>
    <w:p w:rsidRPr="00314AEA" w:rsidR="00314AEA" w:rsidP="00314AEA" w:rsidRDefault="00314AEA">
      <w:pPr>
        <w:spacing w:after="0" w:line="240" w:lineRule="atLeast"/>
        <w:rPr>
          <w:rFonts w:eastAsia="Times New Roman" w:cs="Arial"/>
          <w:bCs/>
          <w:szCs w:val="24"/>
          <w:lang w:eastAsia="hr-HR"/>
        </w:rPr>
      </w:pPr>
      <w:r w:rsidRPr="00314AEA">
        <w:rPr>
          <w:rFonts w:eastAsia="Times New Roman" w:cs="Arial"/>
          <w:bCs/>
          <w:szCs w:val="24"/>
          <w:lang w:eastAsia="hr-HR"/>
        </w:rPr>
        <w:t xml:space="preserve">TRGOVAČKI SUD U PAZINU    </w:t>
      </w:r>
      <w:r w:rsidRPr="00314AEA">
        <w:rPr>
          <w:rFonts w:eastAsia="Times New Roman" w:cs="Arial"/>
          <w:bCs/>
          <w:szCs w:val="24"/>
          <w:lang w:eastAsia="hr-HR"/>
        </w:rPr>
        <w:tab/>
      </w:r>
      <w:r w:rsidRPr="00314AEA">
        <w:rPr>
          <w:rFonts w:eastAsia="Times New Roman" w:cs="Arial"/>
          <w:bCs/>
          <w:szCs w:val="24"/>
          <w:lang w:eastAsia="hr-HR"/>
        </w:rPr>
        <w:tab/>
      </w:r>
      <w:r w:rsidRPr="00314AEA">
        <w:rPr>
          <w:rFonts w:eastAsia="Times New Roman" w:cs="Arial"/>
          <w:bCs/>
          <w:szCs w:val="24"/>
          <w:lang w:eastAsia="hr-HR"/>
        </w:rPr>
        <w:tab/>
      </w:r>
      <w:r w:rsidRPr="00314AEA">
        <w:rPr>
          <w:rFonts w:eastAsia="Times New Roman" w:cs="Arial"/>
          <w:bCs/>
          <w:szCs w:val="24"/>
          <w:lang w:eastAsia="hr-HR"/>
        </w:rPr>
        <w:tab/>
      </w:r>
      <w:r w:rsidRPr="00314AEA">
        <w:rPr>
          <w:rFonts w:eastAsia="Times New Roman" w:cs="Arial"/>
          <w:bCs/>
          <w:szCs w:val="24"/>
          <w:lang w:eastAsia="hr-HR"/>
        </w:rPr>
        <w:tab/>
      </w:r>
      <w:r w:rsidRPr="00314AEA">
        <w:rPr>
          <w:rFonts w:eastAsia="Times New Roman" w:cs="Arial"/>
          <w:bCs/>
          <w:szCs w:val="24"/>
          <w:lang w:eastAsia="hr-HR"/>
        </w:rPr>
        <w:tab/>
      </w:r>
    </w:p>
    <w:p w:rsidRPr="00314AEA" w:rsidR="00314AEA" w:rsidP="00314AEA" w:rsidRDefault="00314AEA">
      <w:pPr>
        <w:spacing w:after="0" w:line="240" w:lineRule="atLeast"/>
        <w:rPr>
          <w:rFonts w:eastAsia="Times New Roman" w:cs="Arial"/>
          <w:bCs/>
          <w:szCs w:val="24"/>
          <w:lang w:eastAsia="hr-HR"/>
        </w:rPr>
      </w:pPr>
      <w:r w:rsidRPr="00314AEA">
        <w:rPr>
          <w:rFonts w:eastAsia="Times New Roman" w:cs="Arial"/>
          <w:bCs/>
          <w:szCs w:val="24"/>
          <w:lang w:eastAsia="hr-HR"/>
        </w:rPr>
        <w:t xml:space="preserve">52000 PAZIN, Dršćevka 1 </w:t>
      </w:r>
      <w:r w:rsidRPr="00314AEA">
        <w:rPr>
          <w:rFonts w:eastAsia="Times New Roman" w:cs="Arial"/>
          <w:bCs/>
          <w:szCs w:val="24"/>
          <w:lang w:eastAsia="hr-HR"/>
        </w:rPr>
        <w:tab/>
      </w:r>
      <w:r w:rsidRPr="00314AEA">
        <w:rPr>
          <w:rFonts w:eastAsia="Times New Roman" w:cs="Arial"/>
          <w:bCs/>
          <w:szCs w:val="24"/>
          <w:lang w:eastAsia="hr-HR"/>
        </w:rPr>
        <w:tab/>
      </w:r>
      <w:r w:rsidRPr="00314AEA">
        <w:rPr>
          <w:rFonts w:eastAsia="Times New Roman" w:cs="Arial"/>
          <w:bCs/>
          <w:szCs w:val="24"/>
          <w:lang w:eastAsia="hr-HR"/>
        </w:rPr>
        <w:tab/>
      </w:r>
      <w:r w:rsidRPr="00314AEA">
        <w:rPr>
          <w:rFonts w:eastAsia="Times New Roman" w:cs="Arial"/>
          <w:bCs/>
          <w:szCs w:val="24"/>
          <w:lang w:eastAsia="hr-HR"/>
        </w:rPr>
        <w:tab/>
      </w:r>
      <w:r w:rsidRPr="00314AEA">
        <w:rPr>
          <w:rFonts w:eastAsia="Times New Roman" w:cs="Arial"/>
          <w:bCs/>
          <w:szCs w:val="24"/>
          <w:lang w:eastAsia="hr-HR"/>
        </w:rPr>
        <w:tab/>
      </w:r>
      <w:r w:rsidRPr="00314AEA">
        <w:rPr>
          <w:rFonts w:eastAsia="Times New Roman" w:cs="Arial"/>
          <w:bCs/>
          <w:szCs w:val="24"/>
          <w:lang w:eastAsia="hr-HR"/>
        </w:rPr>
        <w:tab/>
        <w:t xml:space="preserve">   </w:t>
      </w:r>
      <w:r w:rsidRPr="00314AEA">
        <w:rPr>
          <w:rFonts w:eastAsia="Times New Roman" w:cs="Arial"/>
          <w:bCs/>
          <w:szCs w:val="24"/>
          <w:lang w:eastAsia="hr-HR"/>
        </w:rPr>
        <w:br/>
      </w:r>
      <w:r w:rsidRPr="00314AEA">
        <w:rPr>
          <w:rFonts w:eastAsia="Times New Roman" w:cs="Arial"/>
          <w:bCs/>
          <w:szCs w:val="24"/>
          <w:lang w:eastAsia="hr-HR"/>
        </w:rPr>
        <w:tab/>
      </w:r>
      <w:r w:rsidRPr="00314AEA">
        <w:rPr>
          <w:rFonts w:eastAsia="Times New Roman" w:cs="Arial"/>
          <w:bCs/>
          <w:szCs w:val="24"/>
          <w:lang w:eastAsia="hr-HR"/>
        </w:rPr>
        <w:tab/>
      </w:r>
      <w:r w:rsidRPr="00314AEA">
        <w:rPr>
          <w:rFonts w:eastAsia="Times New Roman" w:cs="Arial"/>
          <w:bCs/>
          <w:szCs w:val="24"/>
          <w:lang w:eastAsia="hr-HR"/>
        </w:rPr>
        <w:tab/>
      </w:r>
      <w:r w:rsidRPr="00314AEA">
        <w:rPr>
          <w:rFonts w:eastAsia="Times New Roman" w:cs="Arial"/>
          <w:bCs/>
          <w:szCs w:val="24"/>
          <w:lang w:eastAsia="hr-HR"/>
        </w:rPr>
        <w:tab/>
      </w:r>
      <w:r w:rsidRPr="00314AEA">
        <w:rPr>
          <w:rFonts w:eastAsia="Times New Roman" w:cs="Arial"/>
          <w:bCs/>
          <w:szCs w:val="24"/>
          <w:lang w:eastAsia="hr-HR"/>
        </w:rPr>
        <w:tab/>
      </w:r>
      <w:r w:rsidRPr="00314AEA">
        <w:rPr>
          <w:rFonts w:eastAsia="Times New Roman" w:cs="Arial"/>
          <w:bCs/>
          <w:szCs w:val="24"/>
          <w:lang w:eastAsia="hr-HR"/>
        </w:rPr>
        <w:tab/>
      </w:r>
      <w:r w:rsidRPr="00314AEA">
        <w:rPr>
          <w:rFonts w:eastAsia="Times New Roman" w:cs="Arial"/>
          <w:bCs/>
          <w:szCs w:val="24"/>
          <w:lang w:eastAsia="hr-HR"/>
        </w:rPr>
        <w:tab/>
      </w:r>
      <w:r w:rsidRPr="00314AEA">
        <w:rPr>
          <w:rFonts w:eastAsia="Times New Roman" w:cs="Arial"/>
          <w:bCs/>
          <w:szCs w:val="24"/>
          <w:lang w:eastAsia="hr-HR"/>
        </w:rPr>
        <w:tab/>
      </w:r>
      <w:r w:rsidRPr="00314AEA">
        <w:rPr>
          <w:rFonts w:eastAsia="Times New Roman" w:cs="Arial"/>
          <w:bCs/>
          <w:szCs w:val="24"/>
          <w:lang w:eastAsia="hr-HR"/>
        </w:rPr>
        <w:tab/>
      </w:r>
      <w:r w:rsidRPr="00314AEA">
        <w:rPr>
          <w:rFonts w:eastAsia="Times New Roman" w:cs="Arial"/>
          <w:bCs/>
          <w:szCs w:val="24"/>
          <w:lang w:eastAsia="hr-HR"/>
        </w:rPr>
        <w:tab/>
        <w:t xml:space="preserve"> </w:t>
      </w:r>
      <w:r w:rsidR="00DE7D70">
        <w:rPr>
          <w:rFonts w:eastAsia="Times New Roman" w:cs="Arial"/>
          <w:bCs/>
          <w:szCs w:val="24"/>
          <w:lang w:eastAsia="hr-HR"/>
        </w:rPr>
        <w:t xml:space="preserve">      </w:t>
      </w:r>
      <w:r w:rsidRPr="001E7F9A">
        <w:rPr>
          <w:rFonts w:eastAsia="Times New Roman" w:cs="Arial"/>
          <w:szCs w:val="24"/>
          <w:lang w:eastAsia="hr-HR"/>
        </w:rPr>
        <w:t>St-</w:t>
      </w:r>
      <w:r>
        <w:rPr>
          <w:rFonts w:eastAsia="Times New Roman" w:cs="Arial"/>
          <w:szCs w:val="24"/>
          <w:lang w:eastAsia="hr-HR"/>
        </w:rPr>
        <w:t>29</w:t>
      </w:r>
      <w:r w:rsidRPr="001E7F9A">
        <w:rPr>
          <w:rFonts w:eastAsia="Times New Roman" w:cs="Arial"/>
          <w:szCs w:val="24"/>
          <w:lang w:eastAsia="hr-HR"/>
        </w:rPr>
        <w:t>/202</w:t>
      </w:r>
      <w:r>
        <w:rPr>
          <w:rFonts w:eastAsia="Times New Roman" w:cs="Arial"/>
          <w:szCs w:val="24"/>
          <w:lang w:eastAsia="hr-HR"/>
        </w:rPr>
        <w:t>4</w:t>
      </w:r>
      <w:r w:rsidRPr="001E7F9A">
        <w:rPr>
          <w:rFonts w:eastAsia="Times New Roman" w:cs="Arial"/>
          <w:szCs w:val="24"/>
          <w:lang w:eastAsia="hr-HR"/>
        </w:rPr>
        <w:t>-</w:t>
      </w:r>
      <w:r w:rsidR="00DE7D70">
        <w:rPr>
          <w:rFonts w:eastAsia="Times New Roman" w:cs="Arial"/>
          <w:szCs w:val="24"/>
          <w:lang w:eastAsia="hr-HR"/>
        </w:rPr>
        <w:t>5</w:t>
      </w:r>
      <w:r w:rsidR="008465E2">
        <w:rPr>
          <w:rFonts w:eastAsia="Times New Roman" w:cs="Arial"/>
          <w:szCs w:val="24"/>
          <w:lang w:eastAsia="hr-HR"/>
        </w:rPr>
        <w:t>2</w:t>
      </w:r>
      <w:r w:rsidRPr="00314AEA">
        <w:rPr>
          <w:rFonts w:eastAsia="Times New Roman" w:cs="Arial"/>
          <w:bCs/>
          <w:szCs w:val="24"/>
          <w:lang w:eastAsia="hr-HR"/>
        </w:rPr>
        <w:tab/>
      </w:r>
      <w:r w:rsidRPr="00314AEA">
        <w:rPr>
          <w:rFonts w:eastAsia="Times New Roman" w:cs="Arial"/>
          <w:bCs/>
          <w:szCs w:val="24"/>
          <w:lang w:eastAsia="hr-HR"/>
        </w:rPr>
        <w:tab/>
      </w:r>
      <w:r w:rsidRPr="00314AEA">
        <w:rPr>
          <w:rFonts w:eastAsia="Times New Roman" w:cs="Arial"/>
          <w:bCs/>
          <w:szCs w:val="24"/>
          <w:lang w:eastAsia="hr-HR"/>
        </w:rPr>
        <w:tab/>
      </w:r>
      <w:r w:rsidRPr="00314AEA">
        <w:rPr>
          <w:rFonts w:eastAsia="Times New Roman" w:cs="Arial"/>
          <w:bCs/>
          <w:szCs w:val="24"/>
          <w:lang w:eastAsia="hr-HR"/>
        </w:rPr>
        <w:tab/>
      </w:r>
      <w:r w:rsidRPr="00314AEA">
        <w:rPr>
          <w:rFonts w:eastAsia="Times New Roman" w:cs="Arial"/>
          <w:bCs/>
          <w:szCs w:val="24"/>
          <w:lang w:eastAsia="hr-HR"/>
        </w:rPr>
        <w:tab/>
      </w:r>
      <w:r w:rsidRPr="00314AEA">
        <w:rPr>
          <w:rFonts w:eastAsia="Times New Roman" w:cs="Arial"/>
          <w:bCs/>
          <w:szCs w:val="24"/>
          <w:lang w:eastAsia="hr-HR"/>
        </w:rPr>
        <w:tab/>
      </w:r>
    </w:p>
    <w:p w:rsidRPr="00314AEA" w:rsidR="00314AEA" w:rsidP="00314AEA" w:rsidRDefault="00314AEA">
      <w:pPr>
        <w:spacing w:after="0" w:line="240" w:lineRule="atLeast"/>
        <w:jc w:val="center"/>
        <w:rPr>
          <w:rFonts w:eastAsia="Times New Roman" w:cs="Arial"/>
          <w:bCs/>
          <w:szCs w:val="24"/>
          <w:lang w:eastAsia="hr-HR"/>
        </w:rPr>
      </w:pPr>
      <w:r w:rsidRPr="00314AEA">
        <w:rPr>
          <w:rFonts w:eastAsia="Times New Roman" w:cs="Arial"/>
          <w:bCs/>
          <w:szCs w:val="24"/>
          <w:lang w:eastAsia="hr-HR"/>
        </w:rPr>
        <w:t>Z A P I S N I K</w:t>
      </w:r>
    </w:p>
    <w:p w:rsidRPr="00314AEA" w:rsidR="00314AEA" w:rsidP="00314AEA" w:rsidRDefault="006D2233">
      <w:pPr>
        <w:spacing w:after="0" w:line="240" w:lineRule="atLeast"/>
        <w:jc w:val="center"/>
        <w:rPr>
          <w:rFonts w:eastAsia="Times New Roman" w:cs="Arial"/>
          <w:bCs/>
          <w:szCs w:val="24"/>
          <w:lang w:eastAsia="hr-HR"/>
        </w:rPr>
      </w:pPr>
      <w:r>
        <w:rPr>
          <w:rFonts w:eastAsia="Times New Roman" w:cs="Arial"/>
          <w:bCs/>
          <w:szCs w:val="24"/>
          <w:lang w:eastAsia="hr-HR"/>
        </w:rPr>
        <w:t>Od 25</w:t>
      </w:r>
      <w:r w:rsidRPr="00314AEA" w:rsidR="00314AEA">
        <w:rPr>
          <w:rFonts w:eastAsia="Times New Roman" w:cs="Arial"/>
          <w:bCs/>
          <w:szCs w:val="24"/>
          <w:lang w:eastAsia="hr-HR"/>
        </w:rPr>
        <w:t>. srpnja 2024.</w:t>
      </w:r>
    </w:p>
    <w:p w:rsidRPr="00314AEA" w:rsidR="00314AEA" w:rsidP="00314AEA" w:rsidRDefault="00314AEA">
      <w:pPr>
        <w:spacing w:after="0" w:line="240" w:lineRule="atLeast"/>
        <w:jc w:val="center"/>
        <w:rPr>
          <w:rFonts w:eastAsia="Times New Roman" w:cs="Arial"/>
          <w:bCs/>
          <w:szCs w:val="24"/>
          <w:lang w:eastAsia="hr-HR"/>
        </w:rPr>
      </w:pPr>
      <w:r w:rsidRPr="00314AEA">
        <w:rPr>
          <w:rFonts w:eastAsia="Times New Roman" w:cs="Arial"/>
          <w:bCs/>
          <w:szCs w:val="24"/>
          <w:lang w:eastAsia="hr-HR"/>
        </w:rPr>
        <w:t>Sastavljen kod Trgovačkog suda u Pazinu,</w:t>
      </w:r>
    </w:p>
    <w:p w:rsidRPr="00314AEA" w:rsidR="00314AEA" w:rsidP="00314AEA" w:rsidRDefault="00314AEA">
      <w:pPr>
        <w:spacing w:after="0" w:line="240" w:lineRule="auto"/>
        <w:jc w:val="center"/>
        <w:rPr>
          <w:rFonts w:eastAsia="Times New Roman" w:cs="Arial"/>
          <w:bCs/>
          <w:szCs w:val="24"/>
          <w:lang w:eastAsia="hr-HR"/>
        </w:rPr>
      </w:pPr>
      <w:r w:rsidRPr="00314AEA">
        <w:rPr>
          <w:rFonts w:eastAsia="Times New Roman" w:cs="Arial"/>
          <w:bCs/>
          <w:szCs w:val="24"/>
          <w:lang w:eastAsia="hr-HR"/>
        </w:rPr>
        <w:t xml:space="preserve">ročište radi određivanja vrijednosti </w:t>
      </w:r>
      <w:r w:rsidRPr="00951842">
        <w:rPr>
          <w:rFonts w:eastAsia="Times New Roman" w:cs="Arial"/>
          <w:szCs w:val="24"/>
          <w:lang w:eastAsia="hr-HR"/>
        </w:rPr>
        <w:t xml:space="preserve">motorne jahte </w:t>
      </w:r>
      <w:r w:rsidRPr="00951842">
        <w:rPr>
          <w:sz w:val="23"/>
          <w:szCs w:val="23"/>
        </w:rPr>
        <w:t>naziva Lola II, bruto tonaže 67,12 BT, pozivni znak 9AA6785, MMSI: 238 937 040, upisane u ulošku broj 1Y-364, glavna knjiga upisnika jahti VIII, upisane u upisni list jahti Lučke kapetanije Pula, KLASA: 342-14/11-01/92, urbroj: 530-03-01-03/2-11-2, DUB br: 91/11</w:t>
      </w:r>
      <w:r w:rsidRPr="00314AEA">
        <w:rPr>
          <w:rFonts w:eastAsia="Times New Roman" w:cs="Arial"/>
          <w:bCs/>
          <w:szCs w:val="24"/>
          <w:lang w:eastAsia="hr-HR"/>
        </w:rPr>
        <w:t xml:space="preserve">, </w:t>
      </w:r>
    </w:p>
    <w:p w:rsidR="00314AEA" w:rsidP="00314AEA" w:rsidRDefault="00314AEA">
      <w:pPr>
        <w:spacing w:after="0" w:line="240" w:lineRule="auto"/>
        <w:jc w:val="center"/>
        <w:rPr>
          <w:rFonts w:eastAsia="Times New Roman" w:cs="Arial"/>
          <w:bCs/>
          <w:szCs w:val="24"/>
          <w:lang w:eastAsia="hr-HR"/>
        </w:rPr>
      </w:pPr>
      <w:r w:rsidRPr="00314AEA">
        <w:rPr>
          <w:rFonts w:eastAsia="Times New Roman" w:cs="Arial"/>
          <w:bCs/>
          <w:szCs w:val="24"/>
          <w:lang w:eastAsia="hr-HR"/>
        </w:rPr>
        <w:t xml:space="preserve">radi prodaje u stečajnom postupku nad </w:t>
      </w:r>
    </w:p>
    <w:p w:rsidRPr="00314AEA" w:rsidR="00314AEA" w:rsidP="00314AEA" w:rsidRDefault="00314AEA">
      <w:pPr>
        <w:spacing w:after="0" w:line="240" w:lineRule="auto"/>
        <w:jc w:val="center"/>
        <w:rPr>
          <w:rFonts w:eastAsia="Times New Roman" w:cs="Arial"/>
          <w:bCs/>
          <w:szCs w:val="24"/>
          <w:lang w:eastAsia="hr-HR"/>
        </w:rPr>
      </w:pPr>
      <w:r w:rsidRPr="00951842">
        <w:rPr>
          <w:rFonts w:eastAsia="Times New Roman" w:cs="Arial"/>
          <w:szCs w:val="24"/>
          <w:lang w:eastAsia="hr-HR"/>
        </w:rPr>
        <w:t>Stečajnom masom iza APEX NAVIS d.o.o. u stečaju, Zagreb, Lupoglavska ulica 3, OIB: 25665183089</w:t>
      </w:r>
    </w:p>
    <w:p w:rsidRPr="00314AEA" w:rsidR="00314AEA" w:rsidP="00314AEA" w:rsidRDefault="00314AEA">
      <w:pPr>
        <w:spacing w:after="0" w:line="240" w:lineRule="atLeast"/>
        <w:rPr>
          <w:rFonts w:eastAsia="Times New Roman" w:cs="Arial"/>
          <w:bCs/>
          <w:szCs w:val="24"/>
          <w:lang w:eastAsia="hr-HR"/>
        </w:rPr>
      </w:pPr>
      <w:r w:rsidRPr="00314AEA">
        <w:rPr>
          <w:rFonts w:eastAsia="Times New Roman" w:cs="Arial"/>
          <w:bCs/>
          <w:szCs w:val="24"/>
          <w:lang w:eastAsia="hr-HR"/>
        </w:rPr>
        <w:t xml:space="preserve">  </w:t>
      </w:r>
    </w:p>
    <w:p w:rsidRPr="00314AEA" w:rsidR="00314AEA" w:rsidP="00314AEA" w:rsidRDefault="00314AEA">
      <w:pPr>
        <w:spacing w:after="0" w:line="240" w:lineRule="atLeast"/>
        <w:jc w:val="both"/>
        <w:rPr>
          <w:rFonts w:eastAsia="Times New Roman" w:cs="Arial"/>
          <w:bCs/>
          <w:szCs w:val="24"/>
          <w:lang w:eastAsia="hr-HR"/>
        </w:rPr>
      </w:pPr>
      <w:r w:rsidRPr="00314AEA">
        <w:rPr>
          <w:rFonts w:eastAsia="Times New Roman" w:cs="Arial"/>
          <w:bCs/>
          <w:szCs w:val="24"/>
          <w:lang w:eastAsia="hr-HR"/>
        </w:rPr>
        <w:t>OD SUDA NAZOČNI:</w:t>
      </w:r>
    </w:p>
    <w:p w:rsidRPr="00314AEA" w:rsidR="00314AEA" w:rsidP="00314AEA" w:rsidRDefault="00314AEA">
      <w:pPr>
        <w:spacing w:after="0" w:line="240" w:lineRule="atLeast"/>
        <w:jc w:val="both"/>
        <w:rPr>
          <w:rFonts w:eastAsia="Times New Roman" w:cs="Arial"/>
          <w:bCs/>
          <w:szCs w:val="24"/>
          <w:lang w:eastAsia="hr-HR"/>
        </w:rPr>
      </w:pPr>
      <w:r w:rsidRPr="00314AEA">
        <w:rPr>
          <w:rFonts w:eastAsia="Times New Roman" w:cs="Arial"/>
          <w:bCs/>
          <w:szCs w:val="24"/>
          <w:lang w:eastAsia="hr-HR"/>
        </w:rPr>
        <w:t xml:space="preserve">Adrijana Labinjan Skok, sutkinja </w:t>
      </w:r>
    </w:p>
    <w:p w:rsidRPr="00314AEA" w:rsidR="00314AEA" w:rsidP="00314AEA" w:rsidRDefault="00314AEA">
      <w:pPr>
        <w:spacing w:after="0" w:line="240" w:lineRule="atLeast"/>
        <w:jc w:val="both"/>
        <w:rPr>
          <w:rFonts w:eastAsia="Times New Roman" w:cs="Arial"/>
          <w:bCs/>
          <w:szCs w:val="24"/>
          <w:lang w:eastAsia="hr-HR"/>
        </w:rPr>
      </w:pPr>
      <w:r w:rsidRPr="00314AEA">
        <w:rPr>
          <w:rFonts w:eastAsia="Times New Roman" w:cs="Arial"/>
          <w:bCs/>
          <w:szCs w:val="24"/>
          <w:lang w:eastAsia="hr-HR"/>
        </w:rPr>
        <w:t>Jasmina Matika, zapisničarka</w:t>
      </w:r>
    </w:p>
    <w:p w:rsidRPr="00314AEA" w:rsidR="00314AEA" w:rsidP="00314AEA" w:rsidRDefault="00314AEA">
      <w:pPr>
        <w:spacing w:after="0" w:line="240" w:lineRule="atLeast"/>
        <w:jc w:val="both"/>
        <w:rPr>
          <w:rFonts w:eastAsia="Times New Roman" w:cs="Arial"/>
          <w:bCs/>
          <w:szCs w:val="24"/>
          <w:lang w:eastAsia="hr-HR"/>
        </w:rPr>
      </w:pPr>
    </w:p>
    <w:p w:rsidRPr="00314AEA" w:rsidR="00314AEA" w:rsidP="00314AEA" w:rsidRDefault="00314AEA">
      <w:pPr>
        <w:spacing w:after="0" w:line="240" w:lineRule="atLeast"/>
        <w:jc w:val="both"/>
        <w:rPr>
          <w:rFonts w:eastAsia="Times New Roman" w:cs="Arial"/>
          <w:bCs/>
          <w:szCs w:val="24"/>
          <w:lang w:eastAsia="hr-HR"/>
        </w:rPr>
      </w:pPr>
      <w:r w:rsidRPr="00314AEA">
        <w:rPr>
          <w:rFonts w:eastAsia="Times New Roman" w:cs="Arial"/>
          <w:bCs/>
          <w:szCs w:val="24"/>
          <w:lang w:eastAsia="hr-HR"/>
        </w:rPr>
        <w:t xml:space="preserve">Početak </w:t>
      </w:r>
      <w:r w:rsidR="00470804">
        <w:rPr>
          <w:rFonts w:eastAsia="Times New Roman" w:cs="Arial"/>
          <w:bCs/>
          <w:szCs w:val="24"/>
          <w:lang w:eastAsia="hr-HR"/>
        </w:rPr>
        <w:t>u 10:2</w:t>
      </w:r>
      <w:r w:rsidRPr="006D2233">
        <w:rPr>
          <w:rFonts w:eastAsia="Times New Roman" w:cs="Arial"/>
          <w:bCs/>
          <w:szCs w:val="24"/>
          <w:lang w:eastAsia="hr-HR"/>
        </w:rPr>
        <w:t>0 sati</w:t>
      </w:r>
      <w:r w:rsidRPr="00314AEA">
        <w:rPr>
          <w:rFonts w:eastAsia="Times New Roman" w:cs="Arial"/>
          <w:bCs/>
          <w:szCs w:val="24"/>
          <w:lang w:eastAsia="hr-HR"/>
        </w:rPr>
        <w:t>. Ročište je javno.</w:t>
      </w:r>
    </w:p>
    <w:p w:rsidRPr="00314AEA" w:rsidR="00314AEA" w:rsidP="00314AEA" w:rsidRDefault="00314AEA">
      <w:pPr>
        <w:spacing w:after="0" w:line="240" w:lineRule="atLeast"/>
        <w:jc w:val="both"/>
        <w:rPr>
          <w:rFonts w:eastAsia="Times New Roman" w:cs="Arial"/>
          <w:bCs/>
          <w:szCs w:val="24"/>
          <w:lang w:eastAsia="hr-HR"/>
        </w:rPr>
      </w:pPr>
      <w:r w:rsidRPr="00314AEA">
        <w:rPr>
          <w:rFonts w:eastAsia="Times New Roman" w:cs="Arial"/>
          <w:bCs/>
          <w:szCs w:val="24"/>
          <w:lang w:eastAsia="hr-HR"/>
        </w:rPr>
        <w:t>Utvrđuje se da su pristupili:</w:t>
      </w:r>
    </w:p>
    <w:p w:rsidRPr="00470804" w:rsidR="00314AEA" w:rsidP="00314AEA" w:rsidRDefault="00314AEA">
      <w:pPr>
        <w:spacing w:after="0" w:line="240" w:lineRule="atLeast"/>
        <w:jc w:val="both"/>
        <w:rPr>
          <w:rFonts w:eastAsia="Times New Roman" w:cs="Arial"/>
          <w:bCs/>
          <w:szCs w:val="24"/>
          <w:lang w:eastAsia="hr-HR"/>
        </w:rPr>
      </w:pPr>
      <w:r w:rsidRPr="00470804">
        <w:rPr>
          <w:rFonts w:eastAsia="Times New Roman" w:cs="Arial"/>
          <w:bCs/>
          <w:szCs w:val="24"/>
          <w:lang w:eastAsia="hr-HR"/>
        </w:rPr>
        <w:t>- stečajni upravitelj Valentin Jakovac</w:t>
      </w:r>
    </w:p>
    <w:p w:rsidRPr="00B46D05" w:rsidR="00470804" w:rsidP="00470804" w:rsidRDefault="00470804">
      <w:pPr>
        <w:spacing w:after="0" w:line="240" w:lineRule="auto"/>
        <w:jc w:val="both"/>
        <w:rPr>
          <w:rFonts w:eastAsia="Times New Roman" w:cs="Arial"/>
          <w:szCs w:val="24"/>
          <w:lang w:eastAsia="hr-HR"/>
        </w:rPr>
      </w:pPr>
      <w:r w:rsidRPr="00B46D05">
        <w:rPr>
          <w:rFonts w:eastAsia="Times New Roman" w:cs="Arial"/>
          <w:szCs w:val="24"/>
          <w:lang w:eastAsia="hr-HR"/>
        </w:rPr>
        <w:t xml:space="preserve">- za razlučnog vjerovnika FLACH TOURS d.o.o., zakonski zastupnik Igor Flah i pun. </w:t>
      </w:r>
    </w:p>
    <w:p w:rsidRPr="00B46D05" w:rsidR="00470804" w:rsidP="00470804" w:rsidRDefault="00470804">
      <w:pPr>
        <w:spacing w:after="0" w:line="240" w:lineRule="auto"/>
        <w:jc w:val="both"/>
        <w:rPr>
          <w:rFonts w:eastAsia="Times New Roman" w:cs="Arial"/>
          <w:szCs w:val="24"/>
          <w:lang w:eastAsia="hr-HR"/>
        </w:rPr>
      </w:pPr>
      <w:r w:rsidRPr="00B46D05">
        <w:rPr>
          <w:rFonts w:eastAsia="Times New Roman" w:cs="Arial"/>
          <w:szCs w:val="24"/>
          <w:lang w:eastAsia="hr-HR"/>
        </w:rPr>
        <w:t xml:space="preserve">  Marija Budimir, odvjetnica iz Pule </w:t>
      </w:r>
    </w:p>
    <w:p w:rsidRPr="00314AEA" w:rsidR="00314AEA" w:rsidP="00314AEA" w:rsidRDefault="00314AEA">
      <w:pPr>
        <w:spacing w:after="0" w:line="240" w:lineRule="atLeast"/>
        <w:jc w:val="both"/>
        <w:rPr>
          <w:rFonts w:eastAsia="Times New Roman" w:cs="Arial"/>
          <w:bCs/>
          <w:color w:val="FF0000"/>
          <w:szCs w:val="24"/>
          <w:lang w:eastAsia="hr-HR"/>
        </w:rPr>
      </w:pPr>
    </w:p>
    <w:p w:rsidRPr="00314AEA" w:rsidR="00314AEA" w:rsidP="00314AEA" w:rsidRDefault="00314AEA">
      <w:pPr>
        <w:tabs>
          <w:tab w:val="left" w:pos="0"/>
        </w:tabs>
        <w:spacing w:after="0" w:line="240" w:lineRule="atLeast"/>
        <w:jc w:val="both"/>
        <w:rPr>
          <w:rFonts w:eastAsia="Times New Roman" w:cs="Arial"/>
          <w:bCs/>
          <w:szCs w:val="24"/>
          <w:lang w:eastAsia="hr-HR"/>
        </w:rPr>
      </w:pPr>
      <w:r w:rsidRPr="00314AEA">
        <w:rPr>
          <w:rFonts w:eastAsia="Times New Roman" w:cs="Arial"/>
          <w:bCs/>
          <w:szCs w:val="24"/>
          <w:lang w:eastAsia="hr-HR"/>
        </w:rPr>
        <w:tab/>
        <w:t xml:space="preserve">Ovo ročište je zakazano radi izjašnjenja razlučnih vjerovnika glede utvrđivanja cijene </w:t>
      </w:r>
      <w:r w:rsidRPr="00951842">
        <w:rPr>
          <w:rFonts w:eastAsia="Times New Roman" w:cs="Arial"/>
          <w:szCs w:val="24"/>
          <w:lang w:eastAsia="hr-HR"/>
        </w:rPr>
        <w:t xml:space="preserve">motorne jahte </w:t>
      </w:r>
      <w:r w:rsidRPr="00951842">
        <w:rPr>
          <w:sz w:val="23"/>
          <w:szCs w:val="23"/>
        </w:rPr>
        <w:t>naziva Lola II, bruto tonaže 67,12 BT, pozivni znak 9AA6785, MMSI: 238 937 040, upisane u ulošku broj 1Y-364, glavna knjiga upisnika jahti VIII, upisane u upisni list jahti Lučke kapetanije Pula, KLASA: 342-14/11-01/92, urbroj: 530-03-01-03/2-11-2, DUB br: 91/11</w:t>
      </w:r>
      <w:r w:rsidRPr="00314AEA">
        <w:rPr>
          <w:rFonts w:eastAsia="Times New Roman" w:cs="Arial"/>
          <w:bCs/>
          <w:szCs w:val="24"/>
          <w:lang w:eastAsia="hr-HR"/>
        </w:rPr>
        <w:t>.</w:t>
      </w:r>
    </w:p>
    <w:p w:rsidRPr="00314AEA" w:rsidR="00314AEA" w:rsidP="00314AEA" w:rsidRDefault="00314AEA">
      <w:pPr>
        <w:spacing w:after="0" w:line="240" w:lineRule="atLeast"/>
        <w:jc w:val="both"/>
        <w:rPr>
          <w:rFonts w:eastAsia="Times New Roman" w:cs="Arial"/>
          <w:bCs/>
          <w:szCs w:val="24"/>
          <w:lang w:eastAsia="hr-HR"/>
        </w:rPr>
      </w:pPr>
    </w:p>
    <w:p w:rsidR="00314AEA" w:rsidP="00314AEA" w:rsidRDefault="00314AEA">
      <w:pPr>
        <w:spacing w:after="0" w:line="240" w:lineRule="atLeast"/>
        <w:jc w:val="both"/>
        <w:rPr>
          <w:rFonts w:eastAsia="Times New Roman" w:cs="Arial"/>
          <w:bCs/>
          <w:szCs w:val="24"/>
          <w:lang w:eastAsia="hr-HR"/>
        </w:rPr>
      </w:pPr>
      <w:r w:rsidRPr="00314AEA">
        <w:rPr>
          <w:rFonts w:eastAsia="Times New Roman" w:cs="Arial"/>
          <w:bCs/>
          <w:szCs w:val="24"/>
          <w:lang w:eastAsia="hr-HR"/>
        </w:rPr>
        <w:tab/>
        <w:t xml:space="preserve">Stečajni upravitelj izjavljuje da </w:t>
      </w:r>
      <w:r w:rsidR="00764189">
        <w:rPr>
          <w:rFonts w:eastAsia="Times New Roman" w:cs="Arial"/>
          <w:bCs/>
          <w:szCs w:val="24"/>
          <w:lang w:eastAsia="hr-HR"/>
        </w:rPr>
        <w:t xml:space="preserve">je pribavio procjene brodice od strane vještaka, i to procjenu koja je dana prije požara na jahti i nakon požara. </w:t>
      </w:r>
    </w:p>
    <w:p w:rsidR="00764189" w:rsidP="00314AEA" w:rsidRDefault="00764189">
      <w:pPr>
        <w:spacing w:after="0" w:line="240" w:lineRule="atLeast"/>
        <w:jc w:val="both"/>
        <w:rPr>
          <w:rFonts w:eastAsia="Times New Roman" w:cs="Arial"/>
          <w:bCs/>
          <w:szCs w:val="24"/>
          <w:lang w:eastAsia="hr-HR"/>
        </w:rPr>
      </w:pPr>
    </w:p>
    <w:p w:rsidR="00764189" w:rsidP="00314AEA" w:rsidRDefault="00764189">
      <w:pPr>
        <w:spacing w:after="0" w:line="240" w:lineRule="atLeast"/>
        <w:jc w:val="both"/>
        <w:rPr>
          <w:rFonts w:eastAsia="Times New Roman" w:cs="Arial"/>
          <w:bCs/>
          <w:szCs w:val="24"/>
          <w:lang w:eastAsia="hr-HR"/>
        </w:rPr>
      </w:pPr>
      <w:r>
        <w:rPr>
          <w:rFonts w:eastAsia="Times New Roman" w:cs="Arial"/>
          <w:bCs/>
          <w:szCs w:val="24"/>
          <w:lang w:eastAsia="hr-HR"/>
        </w:rPr>
        <w:tab/>
        <w:t>Pun. razlučnog vjerovnika izjavljuje da ustraje kod svih navoda danih u svim podnescima dostavljenim u spis, ne prihvaća procjenu vještaka Krunoslava Ormuža, iz svih razloga navedenih u podnescima te ustraje kod svih prijedloga a osobito kod prijedloga da se provede novo vještačenje tržišne vrijednosti jahte koju je ona imala prije požara.</w:t>
      </w:r>
    </w:p>
    <w:p w:rsidR="00764189" w:rsidP="00314AEA" w:rsidRDefault="00764189">
      <w:pPr>
        <w:spacing w:after="0" w:line="240" w:lineRule="atLeast"/>
        <w:jc w:val="both"/>
        <w:rPr>
          <w:rFonts w:eastAsia="Times New Roman" w:cs="Arial"/>
          <w:bCs/>
          <w:szCs w:val="24"/>
          <w:lang w:eastAsia="hr-HR"/>
        </w:rPr>
      </w:pPr>
    </w:p>
    <w:p w:rsidRPr="00314AEA" w:rsidR="00764189" w:rsidP="00764189" w:rsidRDefault="00764189">
      <w:pPr>
        <w:spacing w:after="0" w:line="240" w:lineRule="atLeast"/>
        <w:ind w:firstLine="708"/>
        <w:jc w:val="both"/>
        <w:rPr>
          <w:rFonts w:eastAsia="Times New Roman" w:cs="Arial"/>
          <w:bCs/>
          <w:color w:val="C0504D"/>
          <w:szCs w:val="24"/>
          <w:lang w:eastAsia="hr-HR"/>
        </w:rPr>
      </w:pPr>
      <w:r w:rsidRPr="00314AEA">
        <w:rPr>
          <w:rFonts w:eastAsia="Times New Roman" w:cs="Arial"/>
          <w:bCs/>
          <w:szCs w:val="24"/>
          <w:lang w:eastAsia="hr-HR"/>
        </w:rPr>
        <w:t>Stečajni upravitelj izjavljuje da</w:t>
      </w:r>
      <w:r>
        <w:rPr>
          <w:rFonts w:eastAsia="Times New Roman" w:cs="Arial"/>
          <w:bCs/>
          <w:szCs w:val="24"/>
          <w:lang w:eastAsia="hr-HR"/>
        </w:rPr>
        <w:t xml:space="preserve"> je stalni sudski vještak u skladu sa pravilima struke procijenio brod i prije i nakon opožarenja. Još jednom ističem da je zaprimljeno rješenje prema kojem je potrebno otegliti brod iz luke u Medulinu te da sam kontaktirao dvije firme koje se bave navedenim poslovima te su za isti posao tražili predujam od 10.000,00 eura. Isto tako ističem da postoji opasnost da će doći do onečišćenja ili do neke veće štete zbog plovila koje trenutačno nije niti u posjedu stečajnog upravitelja a sam vještak je utvrdio da je brod u jednom dijelu korodiran a ja kao stečajni upravitelj nemam sredstava da zbrinem isti.</w:t>
      </w:r>
    </w:p>
    <w:p w:rsidRPr="00314AEA" w:rsidR="00314AEA" w:rsidP="00BC4274" w:rsidRDefault="00314AEA">
      <w:pPr>
        <w:tabs>
          <w:tab w:val="left" w:pos="1680"/>
        </w:tabs>
        <w:spacing w:after="0" w:line="240" w:lineRule="atLeast"/>
        <w:jc w:val="both"/>
        <w:rPr>
          <w:rFonts w:eastAsia="Times New Roman" w:cs="Arial"/>
          <w:bCs/>
          <w:szCs w:val="24"/>
          <w:lang w:eastAsia="hr-HR"/>
        </w:rPr>
      </w:pPr>
    </w:p>
    <w:p w:rsidRPr="00314AEA" w:rsidR="00314AEA" w:rsidP="00314AEA" w:rsidRDefault="00314AEA">
      <w:pPr>
        <w:spacing w:after="0" w:line="240" w:lineRule="atLeast"/>
        <w:jc w:val="both"/>
        <w:rPr>
          <w:rFonts w:eastAsia="Times New Roman" w:cs="Arial"/>
          <w:bCs/>
          <w:szCs w:val="24"/>
          <w:lang w:eastAsia="hr-HR"/>
        </w:rPr>
      </w:pPr>
      <w:r w:rsidRPr="00314AEA">
        <w:rPr>
          <w:rFonts w:eastAsia="Times New Roman" w:cs="Arial"/>
          <w:bCs/>
          <w:szCs w:val="24"/>
          <w:lang w:eastAsia="hr-HR"/>
        </w:rPr>
        <w:lastRenderedPageBreak/>
        <w:tab/>
        <w:t>Sutkinja donosi</w:t>
      </w:r>
    </w:p>
    <w:p w:rsidRPr="00314AEA" w:rsidR="00314AEA" w:rsidP="00314AEA" w:rsidRDefault="00314AEA">
      <w:pPr>
        <w:spacing w:after="0" w:line="240" w:lineRule="atLeast"/>
        <w:jc w:val="center"/>
        <w:rPr>
          <w:rFonts w:eastAsia="Times New Roman" w:cs="Arial"/>
          <w:bCs/>
          <w:szCs w:val="24"/>
          <w:lang w:eastAsia="hr-HR"/>
        </w:rPr>
      </w:pPr>
      <w:r w:rsidRPr="00314AEA">
        <w:rPr>
          <w:rFonts w:eastAsia="Times New Roman" w:cs="Arial"/>
          <w:bCs/>
          <w:szCs w:val="24"/>
          <w:lang w:eastAsia="hr-HR"/>
        </w:rPr>
        <w:t>z a k lj u č a k</w:t>
      </w:r>
    </w:p>
    <w:p w:rsidRPr="00314AEA" w:rsidR="00314AEA" w:rsidP="00314AEA" w:rsidRDefault="00314AEA">
      <w:pPr>
        <w:spacing w:after="0" w:line="240" w:lineRule="atLeast"/>
        <w:jc w:val="center"/>
        <w:rPr>
          <w:rFonts w:eastAsia="Times New Roman" w:cs="Arial"/>
          <w:bCs/>
          <w:szCs w:val="24"/>
          <w:lang w:eastAsia="hr-HR"/>
        </w:rPr>
      </w:pPr>
    </w:p>
    <w:p w:rsidRPr="00314AEA" w:rsidR="00314AEA" w:rsidP="00314AEA" w:rsidRDefault="00314AEA">
      <w:pPr>
        <w:tabs>
          <w:tab w:val="left" w:pos="0"/>
        </w:tabs>
        <w:spacing w:after="0" w:line="240" w:lineRule="atLeast"/>
        <w:jc w:val="both"/>
        <w:rPr>
          <w:rFonts w:eastAsia="Times New Roman" w:cs="Arial"/>
          <w:bCs/>
          <w:szCs w:val="24"/>
          <w:lang w:eastAsia="hr-HR"/>
        </w:rPr>
      </w:pPr>
      <w:r w:rsidRPr="00314AEA">
        <w:rPr>
          <w:rFonts w:eastAsia="Times New Roman" w:cs="Arial"/>
          <w:bCs/>
          <w:szCs w:val="24"/>
          <w:lang w:eastAsia="hr-HR"/>
        </w:rPr>
        <w:tab/>
        <w:t xml:space="preserve">Utvrđuje se vrijednost </w:t>
      </w:r>
      <w:r w:rsidRPr="00951842">
        <w:rPr>
          <w:rFonts w:eastAsia="Times New Roman" w:cs="Arial"/>
          <w:szCs w:val="24"/>
          <w:lang w:eastAsia="hr-HR"/>
        </w:rPr>
        <w:t xml:space="preserve">motorne jahte </w:t>
      </w:r>
      <w:r w:rsidRPr="00951842">
        <w:rPr>
          <w:sz w:val="23"/>
          <w:szCs w:val="23"/>
        </w:rPr>
        <w:t>naziva Lola II, bruto tonaže 67,12 BT, pozivni znak 9AA6785, MMSI: 238 937 040, upisane u ulošku broj 1Y-364, glavna knjiga upisnika jahti VIII, upisane u upisni list jahti Lučke kapetanije Pula, KLASA: 342-14/11-01/92, urbroj: 530-03-01-03/2-11-2, DUB br: 91/11</w:t>
      </w:r>
      <w:r w:rsidRPr="00314AEA">
        <w:rPr>
          <w:rFonts w:eastAsia="Times New Roman" w:cs="Arial"/>
          <w:bCs/>
          <w:szCs w:val="24"/>
          <w:lang w:eastAsia="hr-HR"/>
        </w:rPr>
        <w:t xml:space="preserve">, u </w:t>
      </w:r>
      <w:r w:rsidRPr="00BC4274">
        <w:rPr>
          <w:rFonts w:eastAsia="Times New Roman" w:cs="Arial"/>
          <w:bCs/>
          <w:szCs w:val="24"/>
          <w:lang w:eastAsia="hr-HR"/>
        </w:rPr>
        <w:t xml:space="preserve">iznosu od </w:t>
      </w:r>
      <w:r w:rsidRPr="00BC4274" w:rsidR="00BC4274">
        <w:rPr>
          <w:rFonts w:eastAsia="Times New Roman" w:cs="Arial"/>
          <w:bCs/>
          <w:szCs w:val="24"/>
          <w:lang w:eastAsia="hr-HR"/>
        </w:rPr>
        <w:t>10.000,00</w:t>
      </w:r>
      <w:r w:rsidRPr="00BC4274">
        <w:rPr>
          <w:rFonts w:eastAsia="Times New Roman" w:cs="Arial"/>
          <w:bCs/>
          <w:szCs w:val="24"/>
          <w:lang w:eastAsia="hr-HR"/>
        </w:rPr>
        <w:t xml:space="preserve"> eura</w:t>
      </w:r>
      <w:r w:rsidRPr="00BC4274" w:rsidR="00BC4274">
        <w:rPr>
          <w:rFonts w:eastAsia="Times New Roman" w:cs="Arial"/>
          <w:bCs/>
          <w:szCs w:val="24"/>
          <w:lang w:eastAsia="hr-HR"/>
        </w:rPr>
        <w:t xml:space="preserve"> plus </w:t>
      </w:r>
      <w:r w:rsidR="00BC4274">
        <w:rPr>
          <w:rFonts w:eastAsia="Times New Roman" w:cs="Arial"/>
          <w:bCs/>
          <w:szCs w:val="24"/>
          <w:lang w:eastAsia="hr-HR"/>
        </w:rPr>
        <w:t>pdv</w:t>
      </w:r>
      <w:r w:rsidRPr="00314AEA">
        <w:rPr>
          <w:rFonts w:eastAsia="Times New Roman" w:cs="Arial"/>
          <w:bCs/>
          <w:szCs w:val="24"/>
          <w:lang w:eastAsia="hr-HR"/>
        </w:rPr>
        <w:t>.</w:t>
      </w:r>
    </w:p>
    <w:p w:rsidRPr="00314AEA" w:rsidR="00314AEA" w:rsidP="00314AEA" w:rsidRDefault="00314AEA">
      <w:pPr>
        <w:tabs>
          <w:tab w:val="left" w:pos="0"/>
        </w:tabs>
        <w:spacing w:after="0" w:line="240" w:lineRule="atLeast"/>
        <w:jc w:val="both"/>
        <w:rPr>
          <w:rFonts w:eastAsia="Times New Roman" w:cs="Arial"/>
          <w:bCs/>
          <w:color w:val="4F81BD"/>
          <w:szCs w:val="24"/>
          <w:lang w:eastAsia="hr-HR"/>
        </w:rPr>
      </w:pPr>
    </w:p>
    <w:p w:rsidRPr="007B67BB" w:rsidR="00314AEA" w:rsidP="00314AEA" w:rsidRDefault="00314AEA">
      <w:pPr>
        <w:tabs>
          <w:tab w:val="left" w:pos="0"/>
        </w:tabs>
        <w:spacing w:after="0" w:line="240" w:lineRule="atLeast"/>
        <w:jc w:val="both"/>
        <w:rPr>
          <w:rFonts w:eastAsia="Times New Roman" w:cs="Arial"/>
          <w:bCs/>
          <w:szCs w:val="24"/>
          <w:lang w:eastAsia="hr-HR"/>
        </w:rPr>
      </w:pPr>
      <w:r w:rsidRPr="007B67BB">
        <w:rPr>
          <w:rFonts w:eastAsia="Times New Roman" w:cs="Arial"/>
          <w:bCs/>
          <w:szCs w:val="24"/>
          <w:lang w:eastAsia="hr-HR"/>
        </w:rPr>
        <w:tab/>
        <w:t>Ovaj zapisnik objaviti će se na e-Oglasnoj ploči.</w:t>
      </w:r>
    </w:p>
    <w:p w:rsidRPr="00314AEA" w:rsidR="00314AEA" w:rsidP="00314AEA" w:rsidRDefault="00314AEA">
      <w:pPr>
        <w:tabs>
          <w:tab w:val="left" w:pos="0"/>
        </w:tabs>
        <w:spacing w:after="0" w:line="240" w:lineRule="atLeast"/>
        <w:jc w:val="both"/>
        <w:rPr>
          <w:rFonts w:eastAsia="Times New Roman" w:cs="Arial"/>
          <w:bCs/>
          <w:szCs w:val="24"/>
          <w:lang w:eastAsia="hr-HR"/>
        </w:rPr>
      </w:pPr>
    </w:p>
    <w:p w:rsidR="00314AEA" w:rsidP="00314AEA" w:rsidRDefault="00314AEA">
      <w:pPr>
        <w:spacing w:after="0" w:line="240" w:lineRule="atLeast"/>
        <w:jc w:val="both"/>
        <w:rPr>
          <w:rFonts w:eastAsia="Times New Roman" w:cs="Arial"/>
          <w:bCs/>
          <w:szCs w:val="24"/>
          <w:lang w:eastAsia="hr-HR"/>
        </w:rPr>
      </w:pPr>
    </w:p>
    <w:p w:rsidRPr="00314AEA" w:rsidR="007B67BB" w:rsidP="00314AEA" w:rsidRDefault="007B67BB">
      <w:pPr>
        <w:spacing w:after="0" w:line="240" w:lineRule="atLeast"/>
        <w:jc w:val="both"/>
        <w:rPr>
          <w:rFonts w:eastAsia="Times New Roman" w:cs="Arial"/>
          <w:bCs/>
          <w:szCs w:val="24"/>
          <w:lang w:eastAsia="hr-HR"/>
        </w:rPr>
      </w:pPr>
    </w:p>
    <w:p w:rsidRPr="00314AEA" w:rsidR="00314AEA" w:rsidP="00314AEA" w:rsidRDefault="00314AEA">
      <w:pPr>
        <w:spacing w:after="0" w:line="240" w:lineRule="atLeast"/>
        <w:ind w:firstLine="708"/>
        <w:jc w:val="center"/>
        <w:rPr>
          <w:rFonts w:eastAsia="Times New Roman" w:cs="Arial"/>
          <w:szCs w:val="24"/>
          <w:lang w:eastAsia="hr-HR"/>
        </w:rPr>
      </w:pPr>
      <w:r w:rsidRPr="00314AEA">
        <w:rPr>
          <w:rFonts w:eastAsia="Times New Roman" w:cs="Arial"/>
          <w:szCs w:val="24"/>
          <w:lang w:eastAsia="hr-HR"/>
        </w:rPr>
        <w:t xml:space="preserve">Dovršeno u </w:t>
      </w:r>
      <w:r w:rsidR="007B67BB">
        <w:rPr>
          <w:rFonts w:eastAsia="Times New Roman" w:cs="Arial"/>
          <w:szCs w:val="24"/>
          <w:lang w:eastAsia="hr-HR"/>
        </w:rPr>
        <w:t>10</w:t>
      </w:r>
      <w:r w:rsidRPr="00314AEA">
        <w:rPr>
          <w:rFonts w:eastAsia="Times New Roman" w:cs="Arial"/>
          <w:szCs w:val="24"/>
          <w:lang w:eastAsia="hr-HR"/>
        </w:rPr>
        <w:t>:</w:t>
      </w:r>
      <w:r w:rsidR="007B67BB">
        <w:rPr>
          <w:rFonts w:eastAsia="Times New Roman" w:cs="Arial"/>
          <w:szCs w:val="24"/>
          <w:lang w:eastAsia="hr-HR"/>
        </w:rPr>
        <w:t>42</w:t>
      </w:r>
      <w:r w:rsidRPr="00314AEA">
        <w:rPr>
          <w:rFonts w:eastAsia="Times New Roman" w:cs="Arial"/>
          <w:szCs w:val="24"/>
          <w:lang w:eastAsia="hr-HR"/>
        </w:rPr>
        <w:t xml:space="preserve"> sati.</w:t>
      </w:r>
    </w:p>
    <w:p w:rsidRPr="00314AEA" w:rsidR="00314AEA" w:rsidP="00314AEA" w:rsidRDefault="00314AEA">
      <w:pPr>
        <w:spacing w:after="0" w:line="240" w:lineRule="atLeast"/>
        <w:ind w:firstLine="708"/>
        <w:jc w:val="center"/>
        <w:rPr>
          <w:rFonts w:eastAsia="Times New Roman" w:cs="Arial"/>
          <w:szCs w:val="24"/>
          <w:lang w:eastAsia="hr-HR"/>
        </w:rPr>
      </w:pPr>
    </w:p>
    <w:p w:rsidR="00314AEA" w:rsidP="00314AEA" w:rsidRDefault="00314AEA">
      <w:pPr>
        <w:spacing w:after="0" w:line="240" w:lineRule="atLeast"/>
        <w:ind w:firstLine="708"/>
        <w:jc w:val="both"/>
        <w:rPr>
          <w:rFonts w:eastAsia="Times New Roman" w:cs="Arial"/>
          <w:bCs/>
          <w:color w:val="FF0000"/>
          <w:szCs w:val="24"/>
          <w:lang w:eastAsia="hr-HR"/>
        </w:rPr>
      </w:pPr>
    </w:p>
    <w:p w:rsidRPr="00314AEA" w:rsidR="007B67BB" w:rsidP="00314AEA" w:rsidRDefault="007B67BB">
      <w:pPr>
        <w:spacing w:after="0" w:line="240" w:lineRule="atLeast"/>
        <w:ind w:firstLine="708"/>
        <w:jc w:val="both"/>
        <w:rPr>
          <w:rFonts w:eastAsia="Times New Roman" w:cs="Arial"/>
          <w:bCs/>
          <w:color w:val="FF0000"/>
          <w:szCs w:val="24"/>
          <w:lang w:eastAsia="hr-HR"/>
        </w:rPr>
      </w:pPr>
    </w:p>
    <w:p w:rsidRPr="00314AEA" w:rsidR="00314AEA" w:rsidP="00314AEA" w:rsidRDefault="00314AEA">
      <w:pPr>
        <w:spacing w:after="0" w:line="240" w:lineRule="atLeast"/>
        <w:jc w:val="center"/>
        <w:rPr>
          <w:rFonts w:eastAsia="Times New Roman" w:cs="Arial"/>
          <w:bCs/>
          <w:szCs w:val="24"/>
          <w:lang w:eastAsia="hr-HR"/>
        </w:rPr>
      </w:pPr>
      <w:r w:rsidRPr="00314AEA">
        <w:rPr>
          <w:rFonts w:eastAsia="Times New Roman" w:cs="Arial"/>
          <w:bCs/>
          <w:szCs w:val="24"/>
          <w:lang w:eastAsia="hr-HR"/>
        </w:rPr>
        <w:t xml:space="preserve">  </w:t>
      </w:r>
      <w:r w:rsidRPr="00314AEA">
        <w:rPr>
          <w:rFonts w:eastAsia="Times New Roman" w:cs="Arial"/>
          <w:bCs/>
          <w:szCs w:val="24"/>
          <w:lang w:eastAsia="hr-HR"/>
        </w:rPr>
        <w:tab/>
      </w:r>
      <w:r w:rsidRPr="00314AEA">
        <w:rPr>
          <w:rFonts w:eastAsia="Times New Roman" w:cs="Arial"/>
          <w:bCs/>
          <w:szCs w:val="24"/>
          <w:lang w:eastAsia="hr-HR"/>
        </w:rPr>
        <w:tab/>
      </w:r>
      <w:r w:rsidRPr="00314AEA">
        <w:rPr>
          <w:rFonts w:eastAsia="Times New Roman" w:cs="Arial"/>
          <w:bCs/>
          <w:szCs w:val="24"/>
          <w:lang w:eastAsia="hr-HR"/>
        </w:rPr>
        <w:tab/>
      </w:r>
      <w:r w:rsidRPr="00314AEA">
        <w:rPr>
          <w:rFonts w:eastAsia="Times New Roman" w:cs="Arial"/>
          <w:bCs/>
          <w:szCs w:val="24"/>
          <w:lang w:eastAsia="hr-HR"/>
        </w:rPr>
        <w:tab/>
      </w:r>
      <w:r w:rsidRPr="00314AEA">
        <w:rPr>
          <w:rFonts w:eastAsia="Times New Roman" w:cs="Arial"/>
          <w:bCs/>
          <w:szCs w:val="24"/>
          <w:lang w:eastAsia="hr-HR"/>
        </w:rPr>
        <w:tab/>
        <w:t xml:space="preserve">       Sutkinja</w:t>
      </w:r>
      <w:r w:rsidRPr="00314AEA">
        <w:rPr>
          <w:rFonts w:eastAsia="Times New Roman" w:cs="Arial"/>
          <w:bCs/>
          <w:szCs w:val="24"/>
          <w:lang w:eastAsia="hr-HR"/>
        </w:rPr>
        <w:tab/>
      </w:r>
      <w:r w:rsidRPr="00314AEA">
        <w:rPr>
          <w:rFonts w:eastAsia="Times New Roman" w:cs="Arial"/>
          <w:bCs/>
          <w:szCs w:val="24"/>
          <w:lang w:eastAsia="hr-HR"/>
        </w:rPr>
        <w:tab/>
        <w:t xml:space="preserve">        Stečajni upravitelj</w:t>
      </w:r>
    </w:p>
    <w:p w:rsidRPr="00314AEA" w:rsidR="00314AEA" w:rsidP="00314AEA" w:rsidRDefault="00314AEA">
      <w:pPr>
        <w:spacing w:after="0" w:line="240" w:lineRule="atLeast"/>
        <w:jc w:val="center"/>
        <w:rPr>
          <w:rFonts w:eastAsia="Times New Roman" w:cs="Arial"/>
          <w:bCs/>
          <w:szCs w:val="24"/>
          <w:lang w:eastAsia="hr-HR"/>
        </w:rPr>
      </w:pPr>
      <w:r w:rsidRPr="00314AEA">
        <w:rPr>
          <w:rFonts w:eastAsia="Times New Roman" w:cs="Arial"/>
          <w:bCs/>
          <w:szCs w:val="24"/>
          <w:lang w:eastAsia="hr-HR"/>
        </w:rPr>
        <w:tab/>
      </w:r>
    </w:p>
    <w:p w:rsidR="00314AEA" w:rsidP="00314AEA" w:rsidRDefault="00314AEA">
      <w:pPr>
        <w:spacing w:after="0" w:line="240" w:lineRule="atLeast"/>
        <w:jc w:val="center"/>
        <w:rPr>
          <w:rFonts w:eastAsia="Times New Roman" w:cs="Arial"/>
          <w:bCs/>
          <w:szCs w:val="24"/>
          <w:lang w:eastAsia="hr-HR"/>
        </w:rPr>
      </w:pPr>
    </w:p>
    <w:p w:rsidRPr="00314AEA" w:rsidR="007B67BB" w:rsidP="00314AEA" w:rsidRDefault="007B67BB">
      <w:pPr>
        <w:spacing w:after="0" w:line="240" w:lineRule="atLeast"/>
        <w:jc w:val="center"/>
        <w:rPr>
          <w:rFonts w:eastAsia="Times New Roman" w:cs="Arial"/>
          <w:bCs/>
          <w:szCs w:val="24"/>
          <w:lang w:eastAsia="hr-HR"/>
        </w:rPr>
      </w:pPr>
    </w:p>
    <w:p w:rsidRPr="00314AEA" w:rsidR="00314AEA" w:rsidP="00314AEA" w:rsidRDefault="00314AEA">
      <w:pPr>
        <w:spacing w:after="0" w:line="240" w:lineRule="atLeast"/>
        <w:jc w:val="center"/>
        <w:rPr>
          <w:rFonts w:eastAsia="Times New Roman" w:cs="Arial"/>
          <w:bCs/>
          <w:szCs w:val="24"/>
          <w:lang w:eastAsia="hr-HR"/>
        </w:rPr>
      </w:pPr>
    </w:p>
    <w:p w:rsidRPr="00314AEA" w:rsidR="00314AEA" w:rsidP="00314AEA" w:rsidRDefault="00314AEA">
      <w:pPr>
        <w:spacing w:after="0" w:line="240" w:lineRule="atLeast"/>
        <w:ind w:firstLine="720"/>
        <w:jc w:val="both"/>
        <w:rPr>
          <w:rFonts w:eastAsia="Times New Roman" w:cs="Arial"/>
          <w:bCs/>
          <w:szCs w:val="24"/>
          <w:lang w:eastAsia="hr-HR"/>
        </w:rPr>
      </w:pPr>
      <w:r w:rsidRPr="00314AEA">
        <w:rPr>
          <w:rFonts w:eastAsia="Times New Roman" w:cs="Arial"/>
          <w:bCs/>
          <w:szCs w:val="24"/>
          <w:lang w:eastAsia="hr-HR"/>
        </w:rPr>
        <w:t xml:space="preserve">                </w:t>
      </w:r>
      <w:r w:rsidRPr="00314AEA">
        <w:rPr>
          <w:rFonts w:eastAsia="Times New Roman" w:cs="Arial"/>
          <w:bCs/>
          <w:szCs w:val="24"/>
          <w:lang w:eastAsia="hr-HR"/>
        </w:rPr>
        <w:tab/>
      </w:r>
      <w:r w:rsidRPr="00314AEA">
        <w:rPr>
          <w:rFonts w:eastAsia="Times New Roman" w:cs="Arial"/>
          <w:bCs/>
          <w:szCs w:val="24"/>
          <w:lang w:eastAsia="hr-HR"/>
        </w:rPr>
        <w:tab/>
        <w:t xml:space="preserve"> </w:t>
      </w:r>
      <w:r w:rsidRPr="00314AEA">
        <w:rPr>
          <w:rFonts w:eastAsia="Times New Roman" w:cs="Arial"/>
          <w:bCs/>
          <w:szCs w:val="24"/>
          <w:lang w:eastAsia="hr-HR"/>
        </w:rPr>
        <w:tab/>
        <w:t xml:space="preserve">           Zapisničarka</w:t>
      </w:r>
      <w:r w:rsidRPr="00314AEA">
        <w:rPr>
          <w:rFonts w:eastAsia="Times New Roman" w:cs="Arial"/>
          <w:bCs/>
          <w:szCs w:val="24"/>
          <w:lang w:eastAsia="hr-HR"/>
        </w:rPr>
        <w:tab/>
      </w:r>
      <w:r w:rsidRPr="00314AEA">
        <w:rPr>
          <w:rFonts w:eastAsia="Times New Roman" w:cs="Arial"/>
          <w:bCs/>
          <w:szCs w:val="24"/>
          <w:lang w:eastAsia="hr-HR"/>
        </w:rPr>
        <w:tab/>
      </w:r>
      <w:r w:rsidRPr="00314AEA">
        <w:rPr>
          <w:rFonts w:eastAsia="Times New Roman" w:cs="Arial"/>
          <w:bCs/>
          <w:szCs w:val="24"/>
          <w:lang w:eastAsia="hr-HR"/>
        </w:rPr>
        <w:tab/>
        <w:t xml:space="preserve">  Za vjerovnike</w:t>
      </w:r>
    </w:p>
    <w:p w:rsidRPr="00314AEA" w:rsidR="00314AEA" w:rsidP="00314AEA" w:rsidRDefault="00314AEA">
      <w:pPr>
        <w:spacing w:after="0" w:line="240" w:lineRule="auto"/>
        <w:rPr>
          <w:rFonts w:eastAsia="Times New Roman" w:cs="Arial"/>
          <w:bCs/>
          <w:szCs w:val="24"/>
          <w:lang w:eastAsia="hr-HR"/>
        </w:rPr>
      </w:pPr>
    </w:p>
    <w:p w:rsidRPr="00314AEA" w:rsidR="00314AEA" w:rsidP="00314AEA" w:rsidRDefault="00314AEA">
      <w:pPr>
        <w:spacing w:after="0" w:line="240" w:lineRule="auto"/>
        <w:rPr>
          <w:rFonts w:eastAsia="Times New Roman" w:cs="Arial"/>
          <w:bCs/>
          <w:szCs w:val="24"/>
          <w:lang w:eastAsia="hr-HR"/>
        </w:rPr>
      </w:pPr>
    </w:p>
    <w:p w:rsidRPr="00314AEA" w:rsidR="00314AEA" w:rsidP="00314AEA" w:rsidRDefault="00314AEA">
      <w:pPr>
        <w:spacing w:after="0" w:line="240" w:lineRule="auto"/>
        <w:rPr>
          <w:rFonts w:eastAsia="Times New Roman" w:cs="Arial"/>
          <w:bCs/>
          <w:szCs w:val="24"/>
          <w:lang w:eastAsia="hr-HR"/>
        </w:rPr>
      </w:pPr>
    </w:p>
    <w:p w:rsidRPr="00314AEA" w:rsidR="00314AEA" w:rsidP="00314AEA" w:rsidRDefault="00314AEA">
      <w:pPr>
        <w:spacing w:after="0" w:line="240" w:lineRule="auto"/>
        <w:rPr>
          <w:rFonts w:eastAsia="Times New Roman" w:cs="Arial"/>
          <w:bCs/>
          <w:szCs w:val="24"/>
          <w:lang w:eastAsia="hr-HR"/>
        </w:rPr>
      </w:pPr>
    </w:p>
    <w:p w:rsidRPr="00314AEA" w:rsidR="00314AEA" w:rsidP="00314AEA" w:rsidRDefault="00314AEA">
      <w:pPr>
        <w:spacing w:after="0" w:line="240" w:lineRule="auto"/>
        <w:rPr>
          <w:rFonts w:eastAsia="Times New Roman" w:cs="Arial"/>
          <w:bCs/>
          <w:szCs w:val="24"/>
          <w:lang w:eastAsia="hr-HR"/>
        </w:rPr>
      </w:pPr>
    </w:p>
    <w:p w:rsidRPr="00314AEA" w:rsidR="00314AEA" w:rsidP="00314AEA" w:rsidRDefault="00314AEA">
      <w:pPr>
        <w:spacing w:after="0" w:line="240" w:lineRule="auto"/>
        <w:rPr>
          <w:rFonts w:eastAsia="Times New Roman" w:cs="Arial"/>
          <w:bCs/>
          <w:szCs w:val="24"/>
          <w:lang w:eastAsia="hr-HR"/>
        </w:rPr>
      </w:pPr>
    </w:p>
    <w:p w:rsidRPr="00314AEA" w:rsidR="00314AEA" w:rsidP="00314AEA" w:rsidRDefault="00314AEA">
      <w:pPr>
        <w:spacing w:after="0" w:line="240" w:lineRule="auto"/>
        <w:rPr>
          <w:rFonts w:eastAsia="Times New Roman" w:cs="Arial"/>
          <w:bCs/>
          <w:szCs w:val="24"/>
          <w:lang w:eastAsia="hr-HR"/>
        </w:rPr>
      </w:pPr>
    </w:p>
    <w:p w:rsidRPr="00314AEA" w:rsidR="00314AEA" w:rsidP="00314AEA" w:rsidRDefault="00314AEA">
      <w:pPr>
        <w:spacing w:after="0" w:line="240" w:lineRule="auto"/>
        <w:rPr>
          <w:rFonts w:eastAsia="Times New Roman" w:cs="Arial"/>
          <w:bCs/>
          <w:szCs w:val="24"/>
          <w:lang w:eastAsia="hr-HR"/>
        </w:rPr>
      </w:pPr>
    </w:p>
    <w:p w:rsidRPr="00314AEA" w:rsidR="00314AEA" w:rsidP="00314AEA" w:rsidRDefault="00314AEA">
      <w:pPr>
        <w:spacing w:after="0" w:line="240" w:lineRule="auto"/>
        <w:rPr>
          <w:rFonts w:eastAsia="Times New Roman" w:cs="Arial"/>
          <w:bCs/>
          <w:szCs w:val="24"/>
          <w:lang w:eastAsia="hr-HR"/>
        </w:rPr>
      </w:pPr>
    </w:p>
    <w:p w:rsidRPr="00314AEA" w:rsidR="00314AEA" w:rsidP="00314AEA" w:rsidRDefault="00314AEA">
      <w:pPr>
        <w:spacing w:after="0" w:line="240" w:lineRule="auto"/>
        <w:rPr>
          <w:rFonts w:eastAsia="Times New Roman" w:cs="Arial"/>
          <w:bCs/>
          <w:szCs w:val="24"/>
          <w:lang w:eastAsia="hr-HR"/>
        </w:rPr>
      </w:pPr>
    </w:p>
    <w:p w:rsidRPr="00314AEA" w:rsidR="00314AEA" w:rsidP="00314AEA" w:rsidRDefault="00314AEA">
      <w:pPr>
        <w:spacing w:after="0" w:line="240" w:lineRule="auto"/>
        <w:rPr>
          <w:rFonts w:eastAsia="Times New Roman" w:cs="Arial"/>
          <w:bCs/>
          <w:szCs w:val="24"/>
          <w:lang w:eastAsia="hr-HR"/>
        </w:rPr>
      </w:pPr>
    </w:p>
    <w:p w:rsidRPr="00314AEA" w:rsidR="00314AEA" w:rsidP="00314AEA" w:rsidRDefault="00314AEA">
      <w:pPr>
        <w:spacing w:after="0" w:line="240" w:lineRule="auto"/>
        <w:rPr>
          <w:rFonts w:eastAsia="Times New Roman" w:cs="Arial"/>
          <w:bCs/>
          <w:szCs w:val="24"/>
          <w:lang w:eastAsia="hr-HR"/>
        </w:rPr>
      </w:pPr>
    </w:p>
    <w:p w:rsidRPr="00314AEA" w:rsidR="00314AEA" w:rsidP="00314AEA" w:rsidRDefault="00314AEA">
      <w:pPr>
        <w:spacing w:after="0" w:line="240" w:lineRule="auto"/>
        <w:rPr>
          <w:rFonts w:eastAsia="Times New Roman" w:cs="Arial"/>
          <w:bCs/>
          <w:szCs w:val="24"/>
          <w:lang w:eastAsia="hr-HR"/>
        </w:rPr>
      </w:pPr>
    </w:p>
    <w:p w:rsidR="002410FA" w:rsidRDefault="002410FA"/>
    <w:sectPr w:rsidR="002410FA" w:rsidSect="005A7875">
      <w:headerReference w:type="even" r:id="rId7"/>
      <w:headerReference w:type="default" r:id="rId8"/>
      <w:footerReference w:type="even" r:id="rId9"/>
      <w:footerReference w:type="default" r:id="rId10"/>
      <w:pgSz w:w="11906" w:h="16838"/>
      <w:pgMar w:top="1418" w:right="1418" w:bottom="1560" w:left="1418" w:header="709" w:footer="709" w:gutter="0"/>
      <w:pgNumType w:fmt="numberInDash"/>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14AEA" w:rsidP="00314AEA" w:rsidRDefault="00314AEA">
      <w:pPr>
        <w:spacing w:after="0" w:line="240" w:lineRule="auto"/>
      </w:pPr>
      <w:r>
        <w:separator/>
      </w:r>
    </w:p>
  </w:endnote>
  <w:endnote w:type="continuationSeparator" w:id="0">
    <w:p w:rsidR="00314AEA" w:rsidP="00314AEA" w:rsidRDefault="00314AEA">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E5907" w:rsidP="00CA15AA" w:rsidRDefault="00314AEA">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0E5907" w:rsidRDefault="008A2ADD">
    <w:pPr>
      <w:pStyle w:val="Podnoje"/>
      <w:ind w:right="360"/>
    </w:pPr>
  </w:p>
  <w:p w:rsidR="000E5907" w:rsidRDefault="008A2ADD"/>
</w:ftr>
</file>

<file path=word/footer2.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E5907" w:rsidP="00CA15AA" w:rsidRDefault="008A2ADD">
    <w:pPr>
      <w:pStyle w:val="Podnoje"/>
      <w:framePr w:wrap="around" w:hAnchor="margin" w:vAnchor="text" w:xAlign="center" w:y="1"/>
      <w:rPr>
        <w:rStyle w:val="Brojstranice"/>
      </w:rPr>
    </w:pPr>
  </w:p>
  <w:p w:rsidR="000E5907" w:rsidRDefault="008A2ADD">
    <w:pPr>
      <w:pStyle w:val="Podnoje"/>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14AEA" w:rsidP="00314AEA" w:rsidRDefault="00314AEA">
      <w:pPr>
        <w:spacing w:after="0" w:line="240" w:lineRule="auto"/>
      </w:pPr>
      <w:r>
        <w:separator/>
      </w:r>
    </w:p>
  </w:footnote>
  <w:footnote w:type="continuationSeparator" w:id="0">
    <w:p w:rsidR="00314AEA" w:rsidP="00314AEA" w:rsidRDefault="00314AEA">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E5907" w:rsidP="00CA15AA" w:rsidRDefault="00314AEA">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0E5907" w:rsidRDefault="008A2ADD">
    <w:pPr>
      <w:pStyle w:val="Zaglavlje"/>
    </w:pPr>
  </w:p>
  <w:p w:rsidR="000E5907" w:rsidRDefault="008A2ADD"/>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875E4" w:rsidP="006875E4" w:rsidRDefault="008A2ADD">
    <w:pPr>
      <w:pStyle w:val="Zaglavlje"/>
      <w:ind w:firstLine="4536"/>
      <w:jc w:val="center"/>
    </w:pPr>
    <w:sdt>
      <w:sdtPr>
        <w:id w:val="2139913625"/>
        <w:docPartObj>
          <w:docPartGallery w:val="Page Numbers (Top of Page)"/>
          <w:docPartUnique/>
        </w:docPartObj>
      </w:sdtPr>
      <w:sdtEndPr/>
      <w:sdtContent>
        <w:r w:rsidR="00314AEA">
          <w:fldChar w:fldCharType="begin"/>
        </w:r>
        <w:r w:rsidR="00314AEA">
          <w:instrText>PAGE   \* MERGEFORMAT</w:instrText>
        </w:r>
        <w:r w:rsidR="00314AEA">
          <w:fldChar w:fldCharType="separate"/>
        </w:r>
        <w:r>
          <w:rPr>
            <w:noProof/>
          </w:rPr>
          <w:t xml:space="preserve">- </w:t>
        </w:r>
        <w:r w:rsidRPr="008A2ADD">
          <w:rPr>
            <w:rFonts w:cs="Arial"/>
            <w:noProof/>
          </w:rPr>
          <w:t>2</w:t>
        </w:r>
        <w:r>
          <w:rPr>
            <w:noProof/>
          </w:rPr>
          <w:t xml:space="preserve"> -</w:t>
        </w:r>
        <w:r w:rsidR="00314AEA">
          <w:fldChar w:fldCharType="end"/>
        </w:r>
      </w:sdtContent>
    </w:sdt>
    <w:r w:rsidR="00314AEA">
      <w:tab/>
    </w:r>
    <w:r w:rsidR="00314AEA">
      <w:rPr>
        <w:rFonts w:cs="Arial"/>
      </w:rPr>
      <w:t xml:space="preserve"> </w:t>
    </w:r>
    <w:r w:rsidRPr="001E7F9A" w:rsidR="00314AEA">
      <w:rPr>
        <w:rFonts w:eastAsia="Times New Roman" w:cs="Arial"/>
        <w:szCs w:val="24"/>
        <w:lang w:eastAsia="hr-HR"/>
      </w:rPr>
      <w:t>St-</w:t>
    </w:r>
    <w:r w:rsidR="00314AEA">
      <w:rPr>
        <w:rFonts w:eastAsia="Times New Roman" w:cs="Arial"/>
        <w:szCs w:val="24"/>
        <w:lang w:eastAsia="hr-HR"/>
      </w:rPr>
      <w:t>29</w:t>
    </w:r>
    <w:r w:rsidRPr="001E7F9A" w:rsidR="00314AEA">
      <w:rPr>
        <w:rFonts w:eastAsia="Times New Roman" w:cs="Arial"/>
        <w:szCs w:val="24"/>
        <w:lang w:eastAsia="hr-HR"/>
      </w:rPr>
      <w:t>/202</w:t>
    </w:r>
    <w:r w:rsidR="00314AEA">
      <w:rPr>
        <w:rFonts w:eastAsia="Times New Roman" w:cs="Arial"/>
        <w:szCs w:val="24"/>
        <w:lang w:eastAsia="hr-HR"/>
      </w:rPr>
      <w:t>4</w:t>
    </w:r>
    <w:r w:rsidRPr="001E7F9A" w:rsidR="00314AEA">
      <w:rPr>
        <w:rFonts w:eastAsia="Times New Roman" w:cs="Arial"/>
        <w:szCs w:val="24"/>
        <w:lang w:eastAsia="hr-HR"/>
      </w:rPr>
      <w:t>-</w:t>
    </w:r>
    <w:r w:rsidR="00DE7D70">
      <w:rPr>
        <w:rFonts w:eastAsia="Times New Roman" w:cs="Arial"/>
        <w:szCs w:val="24"/>
        <w:lang w:eastAsia="hr-HR"/>
      </w:rPr>
      <w:t>5</w:t>
    </w:r>
    <w:r w:rsidR="008465E2">
      <w:rPr>
        <w:rFonts w:eastAsia="Times New Roman" w:cs="Arial"/>
        <w:szCs w:val="24"/>
        <w:lang w:eastAsia="hr-HR"/>
      </w:rPr>
      <w:t>2</w:t>
    </w:r>
  </w:p>
  <w:p w:rsidR="000E5907" w:rsidRDefault="008A2ADD"/>
</w:hdr>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AEA"/>
    <w:rsid w:val="002410FA"/>
    <w:rsid w:val="00314AEA"/>
    <w:rsid w:val="00470804"/>
    <w:rsid w:val="006D2233"/>
    <w:rsid w:val="00764189"/>
    <w:rsid w:val="007B67BB"/>
    <w:rsid w:val="008465E2"/>
    <w:rsid w:val="008A2ADD"/>
    <w:rsid w:val="00BC4274"/>
    <w:rsid w:val="00DE7D70"/>
    <w:rsid w:val="00FF365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42787F22-2CC2-4FFF-ABE7-90EC2B8E92D1}"/>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314AEA"/>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314AEA"/>
  </w:style>
  <w:style w:type="paragraph" w:styleId="Podnoje">
    <w:name w:val="footer"/>
    <w:basedOn w:val="Normal"/>
    <w:link w:val="PodnojeChar"/>
    <w:uiPriority w:val="99"/>
    <w:unhideWhenUsed/>
    <w:rsid w:val="00314AEA"/>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314AEA"/>
  </w:style>
  <w:style w:type="character" w:styleId="Brojstranice">
    <w:name w:val="page number"/>
    <w:basedOn w:val="Zadanifontodlomka"/>
    <w:rsid w:val="00314AEA"/>
  </w:style>
  <w:style w:type="character" w:styleId="Tekstrezerviranogmjesta">
    <w:name w:val="Placeholder Text"/>
    <w:basedOn w:val="Zadanifontodlomka"/>
    <w:uiPriority w:val="99"/>
    <w:semiHidden/>
    <w:rsid w:val="008A2ADD"/>
    <w:rPr>
      <w:color w:val="808080"/>
      <w:bdr w:val="none" w:color="auto" w:sz="0" w:space="0"/>
      <w:shd w:val="clear" w:color="auto" w:fill="auto"/>
    </w:rPr>
  </w:style>
  <w:style w:type="character" w:styleId="eSPISCCParagraphDefaultFont" w:customStyle="true">
    <w:name w:val="eSPIS_CC_Paragraph Default Font"/>
    <w:basedOn w:val="Zadanifontodlomka"/>
    <w:rsid w:val="008A2ADD"/>
    <w:rPr>
      <w:rFonts w:ascii="Times New Roman" w:hAnsi="Times New Roman" w:eastAsia="Times New Roman" w:cs="Times New Roman"/>
      <w:bCs/>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8A2ADD"/>
    <w:rPr>
      <w:rFonts w:eastAsia="Times New Roman" w:cs="Arial"/>
      <w:bCs/>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8A2ADD"/>
    <w:rPr>
      <w:rFonts w:ascii="Times New Roman" w:hAnsi="Times New Roman" w:eastAsia="Times New Roman" w:cs="Arial"/>
      <w:bCs w:val="false"/>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8A2ADD"/>
    <w:rPr>
      <w:rFonts w:ascii="Times New Roman" w:hAnsi="Times New Roman" w:eastAsia="Times New Roman" w:cs="Arial"/>
      <w:bCs w:val="false"/>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2.xml" Type="http://schemas.openxmlformats.org/officeDocument/2006/relationships/header" Id="rId8"/><Relationship Target="settings.xml" Type="http://schemas.openxmlformats.org/officeDocument/2006/relationships/settings" Id="rId3"/><Relationship Target="header1.xml" Type="http://schemas.openxmlformats.org/officeDocument/2006/relationships/header" Id="rId7"/><Relationship Target="theme/theme1.xml" Type="http://schemas.openxmlformats.org/officeDocument/2006/relationships/theme" Id="rId12"/><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ntTable.xml" Type="http://schemas.openxmlformats.org/officeDocument/2006/relationships/fontTable" Id="rId11"/><Relationship Target="footnotes.xml" Type="http://schemas.openxmlformats.org/officeDocument/2006/relationships/footnotes" Id="rId5"/><Relationship Target="footer2.xml" Type="http://schemas.openxmlformats.org/officeDocument/2006/relationships/footer" Id="rId10"/><Relationship Target="webSettings.xml" Type="http://schemas.openxmlformats.org/officeDocument/2006/relationships/webSettings" Id="rId4"/><Relationship Target="footer1.xml" Type="http://schemas.openxmlformats.org/officeDocument/2006/relationships/foot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25. srpnja 2024.</izvorni_sadrzaj>
    <derivirana_varijabla naziv="DomainObject.StvarniPocetakDatum_1">25. srpnja 2024.</derivirana_varijabla>
  </DomainObject.StvarniPocetakDatum>
  <DomainObject.StvarniZavrsetakDatum>
    <izvorni_sadrzaj>25. srpnja 2024.</izvorni_sadrzaj>
    <derivirana_varijabla naziv="DomainObject.StvarniZavrsetakDatum_1">25. srpnja 2024.</derivirana_varijabla>
  </DomainObject.StvarniZavrsetakDatum>
  <DomainObject.PlaniraniZavrsetakDatum>
    <izvorni_sadrzaj>25. srpnja 2024.</izvorni_sadrzaj>
    <derivirana_varijabla naziv="DomainObject.PlaniraniZavrsetakDatum_1">25. srpnja 2024.</derivirana_varijabla>
  </DomainObject.PlaniraniZavrsetakDatum>
  <DomainObject.PlaniraniPocetakDatum>
    <izvorni_sadrzaj>25. srpnja 2024.</izvorni_sadrzaj>
    <derivirana_varijabla naziv="DomainObject.PlaniraniPocetakDatum_1">25. srpnja 2024.</derivirana_varijabla>
  </DomainObject.PlaniraniPocetakDatum>
  <DomainObject.StvarniPocetakVrijeme>
    <izvorni_sadrzaj>10:20</izvorni_sadrzaj>
    <derivirana_varijabla naziv="DomainObject.StvarniPocetakVrijeme_1">10:20</derivirana_varijabla>
  </DomainObject.StvarniPocetakVrijeme>
  <DomainObject.StvarniZavrsetakVrijeme>
    <izvorni_sadrzaj>10:42</izvorni_sadrzaj>
    <derivirana_varijabla naziv="DomainObject.StvarniZavrsetakVrijeme_1">10:42</derivirana_varijabla>
  </DomainObject.StvarniZavrsetakVrijeme>
  <DomainObject.PlaniraniZavrsetakVrijeme>
    <izvorni_sadrzaj>10:35</izvorni_sadrzaj>
    <derivirana_varijabla naziv="DomainObject.PlaniraniZavrsetakVrijeme_1">10:35</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25. srpnja 2024.</izvorni_sadrzaj>
    <derivirana_varijabla naziv="DomainObject.Zapisnik.DatumKreiranja_1">25. srpnja 2024.</derivirana_varijabla>
  </DomainObject.Zapisnik.DatumKreiranja>
  <DomainObject.Zapisnik.ImovinskaKorist>
    <izvorni_sadrzaj/>
    <derivirana_varijabla naziv="DomainObject.Zapisnik.ImovinskaKorist_1"/>
  </DomainObject.Zapisnik.ImovinskaKorist>
  <DomainObject.Zapisnik.Oznaka>
    <izvorni_sadrzaj>St-29/2024-52</izvorni_sadrzaj>
    <derivirana_varijabla naziv="DomainObject.Zapisnik.Oznaka_1">St-29/2024-52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izvorni_sadrzaj>
    <derivirana_varijabla naziv="DomainObject.Predmet.Broj_1">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siječnja 2024.</izvorni_sadrzaj>
    <derivirana_varijabla naziv="DomainObject.Predmet.DatumOsnivanja_1">26. siječnja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novi broj radi naknadne diobe</izvorni_sadrzaj>
    <derivirana_varijabla naziv="DomainObject.Predmet.Opis_1">novi broj radi naknadne diobe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St-29/2024</izvorni_sadrzaj>
    <derivirana_varijabla naziv="DomainObject.Predmet.OznakaBroj_1">St-29/2024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APEX NAVIS d.o.o. savjetovanje u pomorstvu i brodogradnji, turistička agencija u stečaju</izvorni_sadrzaj>
    <derivirana_varijabla naziv="DomainObject.Predmet.ProtustrankaFormated_1">  Stečajna masa iza APEX NAVIS d.o.o. savjetovanje u pomorstvu i brodogradnji, turistička agencija u stečaju</derivirana_varijabla>
  </DomainObject.Predmet.ProtustrankaFormated>
  <DomainObject.Predmet.ProtustrankaFormatedOIB>
    <izvorni_sadrzaj>  Stečajna masa iza APEX NAVIS d.o.o. savjetovanje u pomorstvu i brodogradnji, turistička agencija u stečaju, OIB 25665183089</izvorni_sadrzaj>
    <derivirana_varijabla naziv="DomainObject.Predmet.ProtustrankaFormatedOIB_1">  Stečajna masa iza APEX NAVIS d.o.o. savjetovanje u pomorstvu i brodogradnji, turistička agencija u stečaju, OIB 25665183089</derivirana_varijabla>
  </DomainObject.Predmet.ProtustrankaFormatedOIB>
  <DomainObject.Predmet.ProtustrankaFormatedWithAdress>
    <izvorni_sadrzaj> Stečajna masa iza APEX NAVIS d.o.o. savjetovanje u pomorstvu i brodogradnji, turistička agencija u stečaju, Lupoglavska ulica 3, 10000 Zagreb</izvorni_sadrzaj>
    <derivirana_varijabla naziv="DomainObject.Predmet.ProtustrankaFormatedWithAdress_1"> Stečajna masa iza APEX NAVIS d.o.o. savjetovanje u pomorstvu i brodogradnji, turistička agencija u stečaju, Lupoglavska ulica 3, 10000 Zagreb</derivirana_varijabla>
  </DomainObject.Predmet.ProtustrankaFormatedWithAdress>
  <DomainObject.Predmet.ProtustrankaFormatedWithAdressOIB>
    <izvorni_sadrzaj> Stečajna masa iza APEX NAVIS d.o.o. savjetovanje u pomorstvu i brodogradnji, turistička agencija u stečaju, OIB 25665183089, Lupoglavska ulica 3, 10000 Zagreb</izvorni_sadrzaj>
    <derivirana_varijabla naziv="DomainObject.Predmet.ProtustrankaFormatedWithAdressOIB_1"> Stečajna masa iza APEX NAVIS d.o.o. savjetovanje u pomorstvu i brodogradnji, turistička agencija u stečaju, OIB 25665183089, Lupoglavska ulica 3, 10000 Zagreb</derivirana_varijabla>
  </DomainObject.Predmet.ProtustrankaFormatedWithAdressOIB>
  <DomainObject.Predmet.ProtustrankaWithAdress>
    <izvorni_sadrzaj>Stečajna masa iza APEX NAVIS d.o.o. savjetovanje u pomorstvu i brodogradnji, turistička agencija u stečaju Lupoglavska ulica 3, 10000 Zagreb</izvorni_sadrzaj>
    <derivirana_varijabla naziv="DomainObject.Predmet.ProtustrankaWithAdress_1">Stečajna masa iza APEX NAVIS d.o.o. savjetovanje u pomorstvu i brodogradnji, turistička agencija u stečaju Lupoglavska ulica 3, 10000 Zagreb</derivirana_varijabla>
  </DomainObject.Predmet.ProtustrankaWithAdress>
  <DomainObject.Predmet.ProtustrankaWithAdressOIB>
    <izvorni_sadrzaj>Stečajna masa iza APEX NAVIS d.o.o. savjetovanje u pomorstvu i brodogradnji, turistička agencija u stečaju, OIB 25665183089, Lupoglavska ulica 3, 10000 Zagreb</izvorni_sadrzaj>
    <derivirana_varijabla naziv="DomainObject.Predmet.ProtustrankaWithAdressOIB_1">Stečajna masa iza APEX NAVIS d.o.o. savjetovanje u pomorstvu i brodogradnji, turistička agencija u stečaju, OIB 25665183089, Lupoglavska ulica 3, 10000 Zagreb</derivirana_varijabla>
  </DomainObject.Predmet.ProtustrankaWithAdressOIB>
  <DomainObject.Predmet.ProtustrankaNazivFormated>
    <izvorni_sadrzaj>Stečajna masa iza APEX NAVIS d.o.o. savjetovanje u pomorstvu i brodogradnji, turistička agencija u stečaju</izvorni_sadrzaj>
    <derivirana_varijabla naziv="DomainObject.Predmet.ProtustrankaNazivFormated_1">Stečajna masa iza APEX NAVIS d.o.o. savjetovanje u pomorstvu i brodogradnji, turistička agencija u stečaju</derivirana_varijabla>
  </DomainObject.Predmet.ProtustrankaNazivFormated>
  <DomainObject.Predmet.ProtustrankaNazivFormatedOIB>
    <izvorni_sadrzaj>Stečajna masa iza APEX NAVIS d.o.o. savjetovanje u pomorstvu i brodogradnji, turistička agencija u stečaju, OIB 25665183089</izvorni_sadrzaj>
    <derivirana_varijabla naziv="DomainObject.Predmet.ProtustrankaNazivFormatedOIB_1">Stečajna masa iza APEX NAVIS d.o.o. savjetovanje u pomorstvu i brodogradnji, turistička agencija u stečaju, OIB 25665183089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Pula, PULA; FLACH TOURS d.o.o. turistička agencija i poslovanje nekretninama; APEX NAVIS d.o.o. savjetovanje u pomorstvu i brodogradnji, turistička agencija u stečaju</izvorni_sadrzaj>
    <derivirana_varijabla naziv="DomainObject.Predmet.StrankaFormated_1">  Financijska agencija, Podružnica Pula, PULA; FLACH TOURS d.o.o. turistička agencija i poslovanje nekretninama; APEX NAVIS d.o.o. savjetovanje u pomorstvu i brodogradnji, turistička agencija u stečaju</derivirana_varijabla>
  </DomainObject.Predmet.StrankaFormated>
  <DomainObject.Predmet.StrankaFormatedOIB>
    <izvorni_sadrzaj>  Financijska agencija, Podružnica Pula, PULA, OIB 85821130368; FLACH TOURS d.o.o. turistička agencija i poslovanje nekretninama, OIB 10947185249; APEX NAVIS d.o.o. savjetovanje u pomorstvu i brodogradnji, turistička agencija u stečaju, OIB 30244289973</izvorni_sadrzaj>
    <derivirana_varijabla naziv="DomainObject.Predmet.StrankaFormatedOIB_1">  Financijska agencija, Podružnica Pula, PULA, OIB 85821130368; FLACH TOURS d.o.o. turistička agencija i poslovanje nekretninama, OIB 10947185249; APEX NAVIS d.o.o. savjetovanje u pomorstvu i brodogradnji, turistička agencija u stečaju, OIB 30244289973</derivirana_varijabla>
  </DomainObject.Predmet.StrankaFormatedOIB>
  <DomainObject.Predmet.StrankaFormatedWithAdress>
    <izvorni_sadrzaj> Financijska agencija, Podružnica Pula, PULA, GIARDINI 5, 52100 Pula; FLACH TOURS d.o.o. turistička agencija i poslovanje nekretninama, Osipovica 18, 52100 Medulin; APEX NAVIS d.o.o. savjetovanje u pomorstvu i brodogradnji, turistička agencija u stečaju, Osipovica 18, 52100 Medulin</izvorni_sadrzaj>
    <derivirana_varijabla naziv="DomainObject.Predmet.StrankaFormatedWithAdress_1"> Financijska agencija, Podružnica Pula, PULA, GIARDINI 5, 52100 Pula; FLACH TOURS d.o.o. turistička agencija i poslovanje nekretninama, Osipovica 18, 52100 Medulin; APEX NAVIS d.o.o. savjetovanje u pomorstvu i brodogradnji, turistička agencija u stečaju, Osipovica 18, 52100 Medulin</derivirana_varijabla>
  </DomainObject.Predmet.StrankaFormatedWithAdress>
  <DomainObject.Predmet.StrankaFormatedWithAdressOIB>
    <izvorni_sadrzaj> Financijska agencija, Podružnica Pula, PULA, OIB 85821130368, GIARDINI 5, 52100 Pula; FLACH TOURS d.o.o. turistička agencija i poslovanje nekretninama, OIB 10947185249, Osipovica 18, 52100 Medulin; APEX NAVIS d.o.o. savjetovanje u pomorstvu i brodogradnji, turistička agencija u stečaju, OIB 30244289973, Osipovica 18, 52100 Medulin</izvorni_sadrzaj>
    <derivirana_varijabla naziv="DomainObject.Predmet.StrankaFormatedWithAdressOIB_1"> Financijska agencija, Podružnica Pula, PULA, OIB 85821130368, GIARDINI 5, 52100 Pula; FLACH TOURS d.o.o. turistička agencija i poslovanje nekretninama, OIB 10947185249, Osipovica 18, 52100 Medulin; APEX NAVIS d.o.o. savjetovanje u pomorstvu i brodogradnji, turistička agencija u stečaju, OIB 30244289973, Osipovica 18, 52100 Medulin</derivirana_varijabla>
  </DomainObject.Predmet.StrankaFormatedWithAdressOIB>
  <DomainObject.Predmet.StrankaWithAdress>
    <izvorni_sadrzaj>Financijska agencija, Podružnica Pula, PULA GIARDINI 5,52100 Pula,FLACH TOURS d.o.o. turistička agencija i poslovanje nekretninama Osipovica 18,52100 Medulin,APEX NAVIS d.o.o. savjetovanje u pomorstvu i brodogradnji, turistička agencija u stečaju Osipovica 18,52100 Medulin</izvorni_sadrzaj>
    <derivirana_varijabla naziv="DomainObject.Predmet.StrankaWithAdress_1">Financijska agencija, Podružnica Pula, PULA GIARDINI 5,52100 Pula,FLACH TOURS d.o.o. turistička agencija i poslovanje nekretninama Osipovica 18,52100 Medulin,APEX NAVIS d.o.o. savjetovanje u pomorstvu i brodogradnji, turistička agencija u stečaju Osipovica 18,52100 Medulin</derivirana_varijabla>
  </DomainObject.Predmet.StrankaWithAdress>
  <DomainObject.Predmet.StrankaWithAdressOIB>
    <izvorni_sadrzaj>Financijska agencija, Podružnica Pula, PULA, OIB 85821130368, GIARDINI 5,52100 Pula,FLACH TOURS d.o.o. turistička agencija i poslovanje nekretninama, OIB 10947185249, Osipovica 18,52100 Medulin,APEX NAVIS d.o.o. savjetovanje u pomorstvu i brodogradnji, turistička agencija u stečaju, OIB 30244289973, Osipovica 18,52100 Medulin</izvorni_sadrzaj>
    <derivirana_varijabla naziv="DomainObject.Predmet.StrankaWithAdressOIB_1">Financijska agencija, Podružnica Pula, PULA, OIB 85821130368, GIARDINI 5,52100 Pula,FLACH TOURS d.o.o. turistička agencija i poslovanje nekretninama, OIB 10947185249, Osipovica 18,52100 Medulin,APEX NAVIS d.o.o. savjetovanje u pomorstvu i brodogradnji, turistička agencija u stečaju, OIB 30244289973, Osipovica 18,52100 Medulin</derivirana_varijabla>
  </DomainObject.Predmet.StrankaWithAdressOIB>
  <DomainObject.Predmet.StrankaNazivFormated>
    <izvorni_sadrzaj>Financijska agencija, Podružnica Pula, PULA,FLACH TOURS d.o.o. turistička agencija i poslovanje nekretninama,APEX NAVIS d.o.o. savjetovanje u pomorstvu i brodogradnji, turistička agencija u stečaju</izvorni_sadrzaj>
    <derivirana_varijabla naziv="DomainObject.Predmet.StrankaNazivFormated_1">Financijska agencija, Podružnica Pula, PULA,FLACH TOURS d.o.o. turistička agencija i poslovanje nekretninama,APEX NAVIS d.o.o. savjetovanje u pomorstvu i brodogradnji, turistička agencija u stečaju</derivirana_varijabla>
  </DomainObject.Predmet.StrankaNazivFormated>
  <DomainObject.Predmet.StrankaNazivFormatedOIB>
    <izvorni_sadrzaj>Financijska agencija, Podružnica Pula, PULA, OIB 85821130368,FLACH TOURS d.o.o. turistička agencija i poslovanje nekretninama, OIB 10947185249,APEX NAVIS d.o.o. savjetovanje u pomorstvu i brodogradnji, turistička agencija u stečaju, OIB 30244289973</izvorni_sadrzaj>
    <derivirana_varijabla naziv="DomainObject.Predmet.StrankaNazivFormatedOIB_1">Financijska agencija, Podružnica Pula, PULA, OIB 85821130368,FLACH TOURS d.o.o. turistička agencija i poslovanje nekretninama, OIB 10947185249,APEX NAVIS d.o.o. savjetovanje u pomorstvu i brodogradnji, turistička agencija u stečaju, OIB 30244289973</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Podružnica Pula, PULA</item>
      <item>FLACH TOURS d.o.o. turistička agencija i poslovanje nekretninama</item>
      <item>APEX NAVIS d.o.o. savjetovanje u pomorstvu i brodogradnji, turistička agencija u stečaju</item>
    </izvorni_sadrzaj>
    <derivirana_varijabla naziv="DomainObject.Predmet.StrankaListFormated_1">
      <item>Financijska agencija, Podružnica Pula, PULA</item>
      <item>FLACH TOURS d.o.o. turistička agencija i poslovanje nekretninama</item>
      <item>APEX NAVIS d.o.o. savjetovanje u pomorstvu i brodogradnji, turistička agencija u stečaju</item>
    </derivirana_varijabla>
  </DomainObject.Predmet.StrankaListFormated>
  <DomainObject.Predmet.StrankaListFormatedOIB>
    <izvorni_sadrzaj>
      <item>Financijska agencija, Podružnica Pula, PULA, OIB 85821130368</item>
      <item>FLACH TOURS d.o.o. turistička agencija i poslovanje nekretninama, OIB 10947185249</item>
      <item>APEX NAVIS d.o.o. savjetovanje u pomorstvu i brodogradnji, turistička agencija u stečaju, OIB 30244289973</item>
    </izvorni_sadrzaj>
    <derivirana_varijabla naziv="DomainObject.Predmet.StrankaListFormatedOIB_1">
      <item>Financijska agencija, Podružnica Pula, PULA, OIB 85821130368</item>
      <item>FLACH TOURS d.o.o. turistička agencija i poslovanje nekretninama, OIB 10947185249</item>
      <item>APEX NAVIS d.o.o. savjetovanje u pomorstvu i brodogradnji, turistička agencija u stečaju, OIB 30244289973</item>
    </derivirana_varijabla>
  </DomainObject.Predmet.StrankaListFormatedOIB>
  <DomainObject.Predmet.StrankaListFormatedWithAdress>
    <izvorni_sadrzaj>
      <item>Financijska agencija, Podružnica Pula, PULA, GIARDINI 5, 52100 Pula</item>
      <item>FLACH TOURS d.o.o. turistička agencija i poslovanje nekretninama, Osipovica 18, 52100 Medulin</item>
      <item>APEX NAVIS d.o.o. savjetovanje u pomorstvu i brodogradnji, turistička agencija u stečaju, Osipovica 18, 52100 Medulin</item>
    </izvorni_sadrzaj>
    <derivirana_varijabla naziv="DomainObject.Predmet.StrankaListFormatedWithAdress_1">
      <item>Financijska agencija, Podružnica Pula, PULA, GIARDINI 5, 52100 Pula</item>
      <item>FLACH TOURS d.o.o. turistička agencija i poslovanje nekretninama, Osipovica 18, 52100 Medulin</item>
      <item>APEX NAVIS d.o.o. savjetovanje u pomorstvu i brodogradnji, turistička agencija u stečaju, Osipovica 18, 52100 Medulin</item>
    </derivirana_varijabla>
  </DomainObject.Predmet.StrankaListFormatedWithAdress>
  <DomainObject.Predmet.StrankaListFormatedWithAdressOIB>
    <izvorni_sadrzaj>
      <item>Financijska agencija, Podružnica Pula, PULA, OIB 85821130368, GIARDINI 5, 52100 Pula</item>
      <item>FLACH TOURS d.o.o. turistička agencija i poslovanje nekretninama, OIB 10947185249, Osipovica 18, 52100 Medulin</item>
      <item>APEX NAVIS d.o.o. savjetovanje u pomorstvu i brodogradnji, turistička agencija u stečaju, OIB 30244289973, Osipovica 18, 52100 Medulin</item>
    </izvorni_sadrzaj>
    <derivirana_varijabla naziv="DomainObject.Predmet.StrankaListFormatedWithAdressOIB_1">
      <item>Financijska agencija, Podružnica Pula, PULA, OIB 85821130368, GIARDINI 5, 52100 Pula</item>
      <item>FLACH TOURS d.o.o. turistička agencija i poslovanje nekretninama, OIB 10947185249, Osipovica 18, 52100 Medulin</item>
      <item>APEX NAVIS d.o.o. savjetovanje u pomorstvu i brodogradnji, turistička agencija u stečaju, OIB 30244289973, Osipovica 18, 52100 Medulin</item>
    </derivirana_varijabla>
  </DomainObject.Predmet.StrankaListFormatedWithAdressOIB>
  <DomainObject.Predmet.StrankaListNazivFormated>
    <izvorni_sadrzaj>
      <item>Financijska agencija, Podružnica Pula, PULA</item>
      <item>FLACH TOURS d.o.o. turistička agencija i poslovanje nekretninama</item>
      <item>APEX NAVIS d.o.o. savjetovanje u pomorstvu i brodogradnji, turistička agencija u stečaju</item>
    </izvorni_sadrzaj>
    <derivirana_varijabla naziv="DomainObject.Predmet.StrankaListNazivFormated_1">
      <item>Financijska agencija, Podružnica Pula, PULA</item>
      <item>FLACH TOURS d.o.o. turistička agencija i poslovanje nekretninama</item>
      <item>APEX NAVIS d.o.o. savjetovanje u pomorstvu i brodogradnji, turistička agencija u stečaju</item>
    </derivirana_varijabla>
  </DomainObject.Predmet.StrankaListNazivFormated>
  <DomainObject.Predmet.StrankaListNazivFormatedOIB>
    <izvorni_sadrzaj>
      <item>Financijska agencija, Podružnica Pula, PULA, OIB 85821130368</item>
      <item>FLACH TOURS d.o.o. turistička agencija i poslovanje nekretninama, OIB 10947185249</item>
      <item>APEX NAVIS d.o.o. savjetovanje u pomorstvu i brodogradnji, turistička agencija u stečaju, OIB 30244289973</item>
    </izvorni_sadrzaj>
    <derivirana_varijabla naziv="DomainObject.Predmet.StrankaListNazivFormatedOIB_1">
      <item>Financijska agencija, Podružnica Pula, PULA, OIB 85821130368</item>
      <item>FLACH TOURS d.o.o. turistička agencija i poslovanje nekretninama, OIB 10947185249</item>
      <item>APEX NAVIS d.o.o. savjetovanje u pomorstvu i brodogradnji, turistička agencija u stečaju, OIB 30244289973</item>
    </derivirana_varijabla>
  </DomainObject.Predmet.StrankaListNazivFormatedOIB>
  <DomainObject.Predmet.ProtuStrankaListFormated>
    <izvorni_sadrzaj>
      <item>Stečajna masa iza APEX NAVIS d.o.o. savjetovanje u pomorstvu i brodogradnji, turistička agencija u stečaju</item>
    </izvorni_sadrzaj>
    <derivirana_varijabla naziv="DomainObject.Predmet.ProtuStrankaListFormated_1">
      <item>Stečajna masa iza APEX NAVIS d.o.o. savjetovanje u pomorstvu i brodogradnji, turistička agencija u stečaju</item>
    </derivirana_varijabla>
  </DomainObject.Predmet.ProtuStrankaListFormated>
  <DomainObject.Predmet.ProtuStrankaListFormatedOIB>
    <izvorni_sadrzaj>
      <item>Stečajna masa iza APEX NAVIS d.o.o. savjetovanje u pomorstvu i brodogradnji, turistička agencija u stečaju, OIB 25665183089</item>
    </izvorni_sadrzaj>
    <derivirana_varijabla naziv="DomainObject.Predmet.ProtuStrankaListFormatedOIB_1">
      <item>Stečajna masa iza APEX NAVIS d.o.o. savjetovanje u pomorstvu i brodogradnji, turistička agencija u stečaju, OIB 25665183089</item>
    </derivirana_varijabla>
  </DomainObject.Predmet.ProtuStrankaListFormatedOIB>
  <DomainObject.Predmet.ProtuStrankaListFormatedWithAdress>
    <izvorni_sadrzaj>
      <item>Stečajna masa iza APEX NAVIS d.o.o. savjetovanje u pomorstvu i brodogradnji, turistička agencija u stečaju, Lupoglavska ulica 3, 10000 Zagreb</item>
    </izvorni_sadrzaj>
    <derivirana_varijabla naziv="DomainObject.Predmet.ProtuStrankaListFormatedWithAdress_1">
      <item>Stečajna masa iza APEX NAVIS d.o.o. savjetovanje u pomorstvu i brodogradnji, turistička agencija u stečaju, Lupoglavska ulica 3, 10000 Zagreb</item>
    </derivirana_varijabla>
  </DomainObject.Predmet.ProtuStrankaListFormatedWithAdress>
  <DomainObject.Predmet.ProtuStrankaListFormatedWithAdressOIB>
    <izvorni_sadrzaj>
      <item>Stečajna masa iza APEX NAVIS d.o.o. savjetovanje u pomorstvu i brodogradnji, turistička agencija u stečaju, OIB 25665183089, Lupoglavska ulica 3, 10000 Zagreb</item>
    </izvorni_sadrzaj>
    <derivirana_varijabla naziv="DomainObject.Predmet.ProtuStrankaListFormatedWithAdressOIB_1">
      <item>Stečajna masa iza APEX NAVIS d.o.o. savjetovanje u pomorstvu i brodogradnji, turistička agencija u stečaju, OIB 25665183089, Lupoglavska ulica 3, 10000 Zagreb</item>
    </derivirana_varijabla>
  </DomainObject.Predmet.ProtuStrankaListFormatedWithAdressOIB>
  <DomainObject.Predmet.ProtuStrankaListNazivFormated>
    <izvorni_sadrzaj>
      <item>Stečajna masa iza APEX NAVIS d.o.o. savjetovanje u pomorstvu i brodogradnji, turistička agencija u stečaju</item>
    </izvorni_sadrzaj>
    <derivirana_varijabla naziv="DomainObject.Predmet.ProtuStrankaListNazivFormated_1">
      <item>Stečajna masa iza APEX NAVIS d.o.o. savjetovanje u pomorstvu i brodogradnji, turistička agencija u stečaju</item>
    </derivirana_varijabla>
  </DomainObject.Predmet.ProtuStrankaListNazivFormated>
  <DomainObject.Predmet.ProtuStrankaListNazivFormatedOIB>
    <izvorni_sadrzaj>
      <item>Stečajna masa iza APEX NAVIS d.o.o. savjetovanje u pomorstvu i brodogradnji, turistička agencija u stečaju, OIB 25665183089</item>
    </izvorni_sadrzaj>
    <derivirana_varijabla naziv="DomainObject.Predmet.ProtuStrankaListNazivFormatedOIB_1">
      <item>Stečajna masa iza APEX NAVIS d.o.o. savjetovanje u pomorstvu i brodogradnji, turistička agencija u stečaju, OIB 25665183089</item>
    </derivirana_varijabla>
  </DomainObject.Predmet.ProtuStrankaListNazivFormatedOIB>
  <DomainObject.Predmet.OstaliListFormated>
    <izvorni_sadrzaj>
      <item>Marija Budimir</item>
    </izvorni_sadrzaj>
    <derivirana_varijabla naziv="DomainObject.Predmet.OstaliListFormated_1">
      <item>Marija Budimir</item>
    </derivirana_varijabla>
  </DomainObject.Predmet.OstaliListFormated>
  <DomainObject.Predmet.OstaliListFormatedOIB>
    <izvorni_sadrzaj>
      <item>Marija Budimir, OIB 36425941166</item>
    </izvorni_sadrzaj>
    <derivirana_varijabla naziv="DomainObject.Predmet.OstaliListFormatedOIB_1">
      <item>Marija Budimir, OIB 36425941166</item>
    </derivirana_varijabla>
  </DomainObject.Predmet.OstaliListFormatedOIB>
  <DomainObject.Predmet.OstaliListFormatedWithAdress>
    <izvorni_sadrzaj>
      <item>Marija Budimir, Rovinjska ulica 9, 52100 Pula</item>
    </izvorni_sadrzaj>
    <derivirana_varijabla naziv="DomainObject.Predmet.OstaliListFormatedWithAdress_1">
      <item>Marija Budimir, Rovinjska ulica 9, 52100 Pula</item>
    </derivirana_varijabla>
  </DomainObject.Predmet.OstaliListFormatedWithAdress>
  <DomainObject.Predmet.OstaliListFormatedWithAdressOIB>
    <izvorni_sadrzaj>
      <item>Marija Budimir, OIB 36425941166, Rovinjska ulica 9, 52100 Pula</item>
    </izvorni_sadrzaj>
    <derivirana_varijabla naziv="DomainObject.Predmet.OstaliListFormatedWithAdressOIB_1">
      <item>Marija Budimir, OIB 36425941166, Rovinjska ulica 9, 52100 Pula</item>
    </derivirana_varijabla>
  </DomainObject.Predmet.OstaliListFormatedWithAdressOIB>
  <DomainObject.Predmet.OstaliListNazivFormated>
    <izvorni_sadrzaj>
      <item>Marija Budimir</item>
    </izvorni_sadrzaj>
    <derivirana_varijabla naziv="DomainObject.Predmet.OstaliListNazivFormated_1">
      <item>Marija Budimir</item>
    </derivirana_varijabla>
  </DomainObject.Predmet.OstaliListNazivFormated>
  <DomainObject.Predmet.OstaliListNazivFormatedOIB>
    <izvorni_sadrzaj>
      <item>Marija Budimir, OIB 36425941166</item>
    </izvorni_sadrzaj>
    <derivirana_varijabla naziv="DomainObject.Predmet.OstaliListNazivFormatedOIB_1">
      <item>Marija Budimir, OIB 36425941166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25. srpnja 2024.</izvorni_sadrzaj>
    <derivirana_varijabla naziv="DomainObject.Datum_1">25. srpnja 2024.</derivirana_varijabla>
  </DomainObject.Datum>
  <DomainObject.PoslovniBrojDokumenta>
    <izvorni_sadrzaj>St-29/2024-52</izvorni_sadrzaj>
    <derivirana_varijabla naziv="DomainObject.PoslovniBrojDokumenta_1">St-29/2024-52</derivirana_varijabla>
  </DomainObject.PoslovniBrojDokumenta>
  <DomainObject.Predmet.StrankaIDrugi>
    <izvorni_sadrzaj>Financijska agencija, Podružnica Pula, PULA i dr.</izvorni_sadrzaj>
    <derivirana_varijabla naziv="DomainObject.Predmet.StrankaIDrugi_1">Financijska agencija, Podružnica Pula, PULA i dr.</derivirana_varijabla>
  </DomainObject.Predmet.StrankaIDrugi>
  <DomainObject.Predmet.ProtustrankaIDrugi>
    <izvorni_sadrzaj>Stečajna masa iza APEX NAVIS d.o.o. savjetovanje u pomorstvu i brodogradnji, turistička agencija u stečaju</izvorni_sadrzaj>
    <derivirana_varijabla naziv="DomainObject.Predmet.ProtustrankaIDrugi_1">Stečajna masa iza APEX NAVIS d.o.o. savjetovanje u pomorstvu i brodogradnji, turistička agencija u stečaju</derivirana_varijabla>
  </DomainObject.Predmet.ProtustrankaIDrugi>
  <DomainObject.Predmet.StrankaIDrugiAdressOIB>
    <izvorni_sadrzaj>Financijska agencija, Podružnica Pula, PULA, OIB 85821130368, GIARDINI 5, 52100 Pula i dr.</izvorni_sadrzaj>
    <derivirana_varijabla naziv="DomainObject.Predmet.StrankaIDrugiAdressOIB_1">Financijska agencija, Podružnica Pula, PULA, OIB 85821130368, GIARDINI 5, 52100 Pula i dr.</derivirana_varijabla>
  </DomainObject.Predmet.StrankaIDrugiAdressOIB>
  <DomainObject.Predmet.ProtustrankaIDrugiAdressOIB>
    <izvorni_sadrzaj>Stečajna masa iza APEX NAVIS d.o.o. savjetovanje u pomorstvu i brodogradnji, turistička agencija u stečaju, OIB 25665183089, Lupoglavska ulica 3, 10000 Zagreb</izvorni_sadrzaj>
    <derivirana_varijabla naziv="DomainObject.Predmet.ProtustrankaIDrugiAdressOIB_1">Stečajna masa iza APEX NAVIS d.o.o. savjetovanje u pomorstvu i brodogradnji, turistička agencija u stečaju, OIB 25665183089, Lupoglavska ulica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APEX NAVIS d.o.o. savjetovanje u pomorstvu i brodogradnji, turistička agencija u stečaju</item>
      <item>Financijska agencija, Podružnica Pula, PULA</item>
      <item>FLACH TOURS d.o.o. turistička agencija i poslovanje nekretninama</item>
      <item>Marija Budimir</item>
      <item>APEX NAVIS d.o.o. savjetovanje u pomorstvu i brodogradnji, turistička agencija u stečaju</item>
    </izvorni_sadrzaj>
    <derivirana_varijabla naziv="DomainObject.Predmet.SudioniciListNaziv_1">
      <item>Stečajna masa iza APEX NAVIS d.o.o. savjetovanje u pomorstvu i brodogradnji, turistička agencija u stečaju</item>
      <item>Financijska agencija, Podružnica Pula, PULA</item>
      <item>FLACH TOURS d.o.o. turistička agencija i poslovanje nekretninama</item>
      <item>Marija Budimir</item>
      <item>APEX NAVIS d.o.o. savjetovanje u pomorstvu i brodogradnji, turistička agencija u stečaju</item>
    </derivirana_varijabla>
  </DomainObject.Predmet.SudioniciListNaziv>
  <DomainObject.Predmet.SudioniciListAdressOIB>
    <izvorni_sadrzaj>
      <item>Stečajna masa iza APEX NAVIS d.o.o. savjetovanje u pomorstvu i brodogradnji, turistička agencija u stečaju, OIB 25665183089, Lupoglavska ulica 3,10000 Zagreb</item>
      <item>Financijska agencija, Podružnica Pula, PULA, OIB 85821130368, GIARDINI 5,52100 Pula</item>
      <item>FLACH TOURS d.o.o. turistička agencija i poslovanje nekretninama, OIB 10947185249, Osipovica 18,52100 Medulin</item>
      <item>Marija Budimir, OIB 36425941166, Rovinjska ulica 9,52100 Pula</item>
      <item>APEX NAVIS d.o.o. savjetovanje u pomorstvu i brodogradnji, turistička agencija u stečaju, OIB 30244289973, Osipovica 18,52100 Medulin</item>
    </izvorni_sadrzaj>
    <derivirana_varijabla naziv="DomainObject.Predmet.SudioniciListAdressOIB_1">
      <item>Stečajna masa iza APEX NAVIS d.o.o. savjetovanje u pomorstvu i brodogradnji, turistička agencija u stečaju, OIB 25665183089, Lupoglavska ulica 3,10000 Zagreb</item>
      <item>Financijska agencija, Podružnica Pula, PULA, OIB 85821130368, GIARDINI 5,52100 Pula</item>
      <item>FLACH TOURS d.o.o. turistička agencija i poslovanje nekretninama, OIB 10947185249, Osipovica 18,52100 Medulin</item>
      <item>Marija Budimir, OIB 36425941166, Rovinjska ulica 9,52100 Pula</item>
      <item>APEX NAVIS d.o.o. savjetovanje u pomorstvu i brodogradnji, turistička agencija u stečaju, OIB 30244289973, Osipovica 18,52100 Medulin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25665183089</item>
      <item>, OIB 85821130368</item>
      <item>, OIB 10947185249</item>
      <item>, OIB 36425941166</item>
      <item>, OIB 30244289973</item>
    </izvorni_sadrzaj>
    <derivirana_varijabla naziv="DomainObject.Predmet.SudioniciListNazivOIB_1">
      <item>, OIB 25665183089</item>
      <item>, OIB 85821130368</item>
      <item>, OIB 10947185249</item>
      <item>, OIB 36425941166</item>
      <item>, OIB 30244289973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Valentin Jakovac, OIB 88526658647, Nehruov trg 6, 10000 Zagreb</item>
    </izvorni_sadrzaj>
    <derivirana_varijabla naziv="DomainObject.Predmet.StecajniUpraviteljiListAddressOIB_1">
      <item>Valentin Jakovac, OIB 88526658647, Nehruov trg 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30. prosinca 2023.</izvorni_sadrzaj>
    <derivirana_varijabla naziv="DomainObject.Predmet.DatumPocetkaProcesa_1">30. prosinca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Ministarstvo Pravosuda Republike Hrvatske</properties:Company>
  <properties:Pages>2</properties:Pages>
  <properties:Words>451</properties:Words>
  <properties:Characters>2454</properties:Characters>
  <properties:Lines>85</properties:Lines>
  <properties:Paragraphs>28</properties:Paragraphs>
  <properties:TotalTime>26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3005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2024-07-12T10:21:00Z</dcterms:created>
  <dc:creator>Jasmina Matika</dc:creator>
  <dc:description/>
  <cp:keywords/>
  <cp:lastModifiedBy>Jasmina Matika</cp:lastModifiedBy>
  <dcterms:modified xmlns:xsi="http://www.w3.org/2001/XMLSchema-instance" xsi:type="dcterms:W3CDTF">2024-07-25T08:53:00Z</dcterms:modified>
  <cp:revision>9</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St-29/2024-52 / Zapisnik - Ročište (St-29-24 - ZAPISNIK - UTVRĐENJE VRIJEDNOSTI JAHTE - 25.7.24.docx)</vt:lpwstr>
  </prop:property>
  <prop:property fmtid="{D5CDD505-2E9C-101B-9397-08002B2CF9AE}" pid="4" name="CC_coloring">
    <vt:bool>false</vt:bool>
  </prop:property>
  <prop:property fmtid="{D5CDD505-2E9C-101B-9397-08002B2CF9AE}" pid="5" name="BrojStranica">
    <vt:i4>2</vt:i4>
  </prop:property>
</prop:Properties>
</file>